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820" w:lineRule="exact"/>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highlight w:val="none"/>
        </w:rPr>
      </w:pPr>
    </w:p>
    <w:p>
      <w:pPr>
        <w:jc w:val="center"/>
        <w:rPr>
          <w:rFonts w:hint="eastAsia" w:ascii="仿宋" w:hAnsi="仿宋" w:eastAsia="仿宋" w:cs="仿宋"/>
          <w:sz w:val="32"/>
          <w:highlight w:val="none"/>
        </w:rPr>
      </w:pPr>
      <w:r>
        <w:rPr>
          <w:rFonts w:hint="eastAsia" w:ascii="仿宋" w:hAnsi="仿宋" w:eastAsia="仿宋" w:cs="仿宋"/>
          <w:sz w:val="32"/>
          <w:highlight w:val="none"/>
        </w:rPr>
        <w:t>牡西政办发〔20</w:t>
      </w:r>
      <w:r>
        <w:rPr>
          <w:rFonts w:hint="eastAsia" w:ascii="仿宋" w:hAnsi="仿宋" w:eastAsia="仿宋" w:cs="仿宋"/>
          <w:sz w:val="32"/>
          <w:highlight w:val="none"/>
          <w:lang w:val="en-US" w:eastAsia="zh-CN"/>
        </w:rPr>
        <w:t>22</w:t>
      </w:r>
      <w:r>
        <w:rPr>
          <w:rFonts w:hint="eastAsia" w:ascii="仿宋" w:hAnsi="仿宋" w:eastAsia="仿宋" w:cs="仿宋"/>
          <w:sz w:val="32"/>
          <w:highlight w:val="none"/>
        </w:rPr>
        <w:t>〕</w:t>
      </w:r>
      <w:r>
        <w:rPr>
          <w:rFonts w:hint="eastAsia" w:ascii="仿宋" w:hAnsi="仿宋" w:eastAsia="仿宋" w:cs="仿宋"/>
          <w:sz w:val="32"/>
          <w:highlight w:val="none"/>
          <w:lang w:val="en-US" w:eastAsia="zh-CN"/>
        </w:rPr>
        <w:t>1</w:t>
      </w:r>
      <w:r>
        <w:rPr>
          <w:rFonts w:hint="eastAsia" w:ascii="仿宋" w:hAnsi="仿宋" w:eastAsia="仿宋" w:cs="仿宋"/>
          <w:sz w:val="32"/>
          <w:highlight w:val="none"/>
        </w:rPr>
        <w:t>号</w:t>
      </w:r>
    </w:p>
    <w:p>
      <w:pPr>
        <w:jc w:val="center"/>
        <w:rPr>
          <w:rFonts w:hint="eastAsia" w:ascii="宋体" w:hAnsi="宋体"/>
          <w:b/>
          <w:sz w:val="44"/>
          <w:szCs w:val="44"/>
          <w:highlight w:val="none"/>
        </w:rPr>
      </w:pPr>
    </w:p>
    <w:p>
      <w:pPr>
        <w:spacing w:line="600" w:lineRule="exact"/>
        <w:jc w:val="center"/>
        <w:rPr>
          <w:rFonts w:hint="eastAsia" w:ascii="方正小标宋简体" w:hAnsi="方正小标宋简体" w:eastAsia="方正小标宋简体" w:cs="方正小标宋简体"/>
          <w:bCs/>
          <w:sz w:val="44"/>
          <w:szCs w:val="44"/>
          <w:highlight w:val="none"/>
        </w:rPr>
      </w:pPr>
      <w:r>
        <w:rPr>
          <w:rFonts w:hint="eastAsia" w:ascii="方正小标宋简体" w:hAnsi="方正小标宋简体" w:eastAsia="方正小标宋简体" w:cs="方正小标宋简体"/>
          <w:bCs/>
          <w:sz w:val="44"/>
          <w:szCs w:val="44"/>
          <w:highlight w:val="none"/>
        </w:rPr>
        <w:t>牡丹江市西安区人民政府办公室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关于印发</w:t>
      </w:r>
      <w:r>
        <w:rPr>
          <w:rFonts w:hint="eastAsia" w:ascii="方正小标宋简体" w:hAnsi="方正小标宋简体" w:eastAsia="方正小标宋简体" w:cs="方正小标宋简体"/>
          <w:sz w:val="44"/>
          <w:szCs w:val="44"/>
          <w:highlight w:val="none"/>
          <w:lang w:eastAsia="zh-CN"/>
        </w:rPr>
        <w:t>政府工作报告</w:t>
      </w:r>
      <w:r>
        <w:rPr>
          <w:rFonts w:hint="eastAsia" w:ascii="方正小标宋简体" w:hAnsi="方正小标宋简体" w:eastAsia="方正小标宋简体" w:cs="方正小标宋简体"/>
          <w:sz w:val="44"/>
          <w:szCs w:val="44"/>
          <w:highlight w:val="none"/>
        </w:rPr>
        <w:t>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各乡镇人民政府、各街道办事处，区政府各直属单位：</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Fonts w:hint="eastAsia" w:ascii="仿宋" w:hAnsi="仿宋" w:eastAsia="仿宋" w:cs="仿宋"/>
          <w:sz w:val="32"/>
          <w:szCs w:val="32"/>
          <w:highlight w:val="none"/>
          <w:lang w:val="en-US" w:eastAsia="zh-CN"/>
        </w:rPr>
        <w:t xml:space="preserve">王雅罡同志在西安区第十六届人民代表大会第二次会议上所作的《政府工作报告》，已于区十六届人大二次会议审议通过，现印发给你们，请认真贯彻落实。 </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2880" w:firstLineChars="900"/>
        <w:textAlignment w:val="auto"/>
        <w:outlineLvl w:val="9"/>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牡丹江市西安区人民政府办公室</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20</w:t>
      </w:r>
      <w:r>
        <w:rPr>
          <w:rFonts w:hint="eastAsia" w:ascii="仿宋" w:hAnsi="仿宋" w:eastAsia="仿宋" w:cs="仿宋"/>
          <w:sz w:val="32"/>
          <w:szCs w:val="32"/>
          <w:highlight w:val="none"/>
          <w:lang w:val="en-US" w:eastAsia="zh-CN"/>
        </w:rPr>
        <w:t>22</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21</w:t>
      </w:r>
      <w:r>
        <w:rPr>
          <w:rFonts w:hint="eastAsia" w:ascii="仿宋" w:hAnsi="仿宋" w:eastAsia="仿宋" w:cs="仿宋"/>
          <w:sz w:val="32"/>
          <w:szCs w:val="32"/>
          <w:highlight w:val="none"/>
        </w:rPr>
        <w:t>日</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w:t>
      </w:r>
    </w:p>
    <w:p>
      <w:pPr>
        <w:pStyle w:val="6"/>
        <w:rPr>
          <w:rFonts w:hint="eastAsia" w:ascii="仿宋_GB2312" w:hAnsi="仿宋_GB2312" w:eastAsia="仿宋_GB2312" w:cs="仿宋_GB2312"/>
          <w:sz w:val="32"/>
          <w:szCs w:val="32"/>
          <w:highlight w:val="none"/>
        </w:rPr>
      </w:pPr>
    </w:p>
    <w:p>
      <w:pPr>
        <w:pStyle w:val="6"/>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highlight w:val="none"/>
          <w:lang w:eastAsia="zh-CN"/>
        </w:rPr>
      </w:pPr>
      <w:r>
        <w:rPr>
          <w:rFonts w:hint="eastAsia" w:ascii="方正小标宋简体" w:hAnsi="方正小标宋简体" w:eastAsia="方正小标宋简体" w:cs="方正小标宋简体"/>
          <w:color w:val="auto"/>
          <w:sz w:val="44"/>
          <w:szCs w:val="44"/>
          <w:highlight w:val="none"/>
          <w:lang w:eastAsia="zh-CN"/>
        </w:rPr>
        <w:t>政</w:t>
      </w:r>
      <w:r>
        <w:rPr>
          <w:rFonts w:hint="eastAsia" w:ascii="方正小标宋简体" w:hAnsi="方正小标宋简体" w:eastAsia="方正小标宋简体" w:cs="方正小标宋简体"/>
          <w:color w:val="auto"/>
          <w:sz w:val="44"/>
          <w:szCs w:val="44"/>
          <w:highlight w:val="none"/>
          <w:lang w:val="en-US" w:eastAsia="zh-CN"/>
        </w:rPr>
        <w:t xml:space="preserve"> </w:t>
      </w:r>
      <w:r>
        <w:rPr>
          <w:rFonts w:hint="eastAsia" w:ascii="方正小标宋简体" w:hAnsi="方正小标宋简体" w:eastAsia="方正小标宋简体" w:cs="方正小标宋简体"/>
          <w:color w:val="auto"/>
          <w:sz w:val="44"/>
          <w:szCs w:val="44"/>
          <w:highlight w:val="none"/>
          <w:lang w:eastAsia="zh-CN"/>
        </w:rPr>
        <w:t>府</w:t>
      </w:r>
      <w:r>
        <w:rPr>
          <w:rFonts w:hint="eastAsia" w:ascii="方正小标宋简体" w:hAnsi="方正小标宋简体" w:eastAsia="方正小标宋简体" w:cs="方正小标宋简体"/>
          <w:color w:val="auto"/>
          <w:sz w:val="44"/>
          <w:szCs w:val="44"/>
          <w:highlight w:val="none"/>
          <w:lang w:val="en-US" w:eastAsia="zh-CN"/>
        </w:rPr>
        <w:t xml:space="preserve"> </w:t>
      </w:r>
      <w:r>
        <w:rPr>
          <w:rFonts w:hint="eastAsia" w:ascii="方正小标宋简体" w:hAnsi="方正小标宋简体" w:eastAsia="方正小标宋简体" w:cs="方正小标宋简体"/>
          <w:color w:val="auto"/>
          <w:sz w:val="44"/>
          <w:szCs w:val="44"/>
          <w:highlight w:val="none"/>
          <w:lang w:eastAsia="zh-CN"/>
        </w:rPr>
        <w:t>工</w:t>
      </w:r>
      <w:r>
        <w:rPr>
          <w:rFonts w:hint="eastAsia" w:ascii="方正小标宋简体" w:hAnsi="方正小标宋简体" w:eastAsia="方正小标宋简体" w:cs="方正小标宋简体"/>
          <w:color w:val="auto"/>
          <w:sz w:val="44"/>
          <w:szCs w:val="44"/>
          <w:highlight w:val="none"/>
          <w:lang w:val="en-US" w:eastAsia="zh-CN"/>
        </w:rPr>
        <w:t xml:space="preserve"> </w:t>
      </w:r>
      <w:r>
        <w:rPr>
          <w:rFonts w:hint="eastAsia" w:ascii="方正小标宋简体" w:hAnsi="方正小标宋简体" w:eastAsia="方正小标宋简体" w:cs="方正小标宋简体"/>
          <w:color w:val="auto"/>
          <w:sz w:val="44"/>
          <w:szCs w:val="44"/>
          <w:highlight w:val="none"/>
          <w:lang w:eastAsia="zh-CN"/>
        </w:rPr>
        <w:t>作</w:t>
      </w:r>
      <w:r>
        <w:rPr>
          <w:rFonts w:hint="eastAsia" w:ascii="方正小标宋简体" w:hAnsi="方正小标宋简体" w:eastAsia="方正小标宋简体" w:cs="方正小标宋简体"/>
          <w:color w:val="auto"/>
          <w:sz w:val="44"/>
          <w:szCs w:val="44"/>
          <w:highlight w:val="none"/>
          <w:lang w:val="en-US" w:eastAsia="zh-CN"/>
        </w:rPr>
        <w:t xml:space="preserve"> </w:t>
      </w:r>
      <w:r>
        <w:rPr>
          <w:rFonts w:hint="eastAsia" w:ascii="方正小标宋简体" w:hAnsi="方正小标宋简体" w:eastAsia="方正小标宋简体" w:cs="方正小标宋简体"/>
          <w:color w:val="auto"/>
          <w:sz w:val="44"/>
          <w:szCs w:val="44"/>
          <w:highlight w:val="none"/>
          <w:lang w:eastAsia="zh-CN"/>
        </w:rPr>
        <w:t>报</w:t>
      </w:r>
      <w:r>
        <w:rPr>
          <w:rFonts w:hint="eastAsia" w:ascii="方正小标宋简体" w:hAnsi="方正小标宋简体" w:eastAsia="方正小标宋简体" w:cs="方正小标宋简体"/>
          <w:color w:val="auto"/>
          <w:sz w:val="44"/>
          <w:szCs w:val="44"/>
          <w:highlight w:val="none"/>
          <w:lang w:val="en-US" w:eastAsia="zh-CN"/>
        </w:rPr>
        <w:t xml:space="preserve"> </w:t>
      </w:r>
      <w:r>
        <w:rPr>
          <w:rFonts w:hint="eastAsia" w:ascii="方正小标宋简体" w:hAnsi="方正小标宋简体" w:eastAsia="方正小标宋简体" w:cs="方正小标宋简体"/>
          <w:color w:val="auto"/>
          <w:sz w:val="44"/>
          <w:szCs w:val="44"/>
          <w:highlight w:val="none"/>
          <w:lang w:eastAsia="zh-CN"/>
        </w:rPr>
        <w:t>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──2022年1月20日在牡丹江市</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西安区第十六届人民代表大会第二次会议上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西安区人民政府区长  王雅罡</w:t>
      </w:r>
    </w:p>
    <w:p>
      <w:pPr>
        <w:pStyle w:val="2"/>
        <w:rPr>
          <w:rFonts w:hint="eastAsia"/>
          <w:highlight w:val="none"/>
          <w:lang w:val="en-US" w:eastAsia="zh-CN"/>
        </w:rPr>
      </w:pPr>
    </w:p>
    <w:p>
      <w:pPr>
        <w:keepNext w:val="0"/>
        <w:keepLines w:val="0"/>
        <w:pageBreakBefore w:val="0"/>
        <w:widowControl w:val="0"/>
        <w:kinsoku/>
        <w:wordWrap/>
        <w:overflowPunct w:val="0"/>
        <w:topLinePunct w:val="0"/>
        <w:autoSpaceDE/>
        <w:autoSpaceDN/>
        <w:bidi w:val="0"/>
        <w:adjustRightInd/>
        <w:spacing w:line="600" w:lineRule="exact"/>
        <w:textAlignment w:val="auto"/>
        <w:rPr>
          <w:rFonts w:hint="eastAsia" w:ascii="仿宋_GB2312" w:hAnsi="仿宋_GB2312" w:eastAsia="仿宋_GB2312" w:cs="仿宋_GB2312"/>
          <w:i w:val="0"/>
          <w:iCs w:val="0"/>
          <w:caps w:val="0"/>
          <w:color w:val="auto"/>
          <w:spacing w:val="0"/>
          <w:sz w:val="32"/>
          <w:szCs w:val="32"/>
          <w:highlight w:val="none"/>
          <w:shd w:val="clear" w:fill="FFFFFF"/>
          <w:lang w:val="en-US" w:eastAsia="zh-CN"/>
        </w:rPr>
      </w:pP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各位代表：</w:t>
      </w:r>
    </w:p>
    <w:p>
      <w:pPr>
        <w:keepNext w:val="0"/>
        <w:keepLines w:val="0"/>
        <w:pageBreakBefore w:val="0"/>
        <w:widowControl w:val="0"/>
        <w:kinsoku/>
        <w:wordWrap/>
        <w:overflowPunct w:val="0"/>
        <w:topLinePunct w:val="0"/>
        <w:autoSpaceDE/>
        <w:autoSpaceDN/>
        <w:bidi w:val="0"/>
        <w:adjustRightInd/>
        <w:spacing w:line="600" w:lineRule="exact"/>
        <w:ind w:firstLine="640" w:firstLineChars="200"/>
        <w:textAlignment w:val="auto"/>
        <w:rPr>
          <w:rFonts w:hint="eastAsia" w:ascii="仿宋_GB2312" w:hAnsi="仿宋_GB2312" w:eastAsia="仿宋_GB2312" w:cs="仿宋_GB2312"/>
          <w:i w:val="0"/>
          <w:iCs w:val="0"/>
          <w:caps w:val="0"/>
          <w:color w:val="auto"/>
          <w:spacing w:val="0"/>
          <w:sz w:val="32"/>
          <w:szCs w:val="32"/>
          <w:highlight w:val="none"/>
          <w:shd w:val="clear" w:fill="FFFFFF"/>
          <w:lang w:val="en-US" w:eastAsia="zh-CN"/>
        </w:rPr>
      </w:pP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现在，我代表区人民政府向大会作工作报告，请予审议，并请列席同志提出意见。</w:t>
      </w:r>
    </w:p>
    <w:p>
      <w:pPr>
        <w:keepNext w:val="0"/>
        <w:keepLines w:val="0"/>
        <w:pageBreakBefore w:val="0"/>
        <w:widowControl w:val="0"/>
        <w:kinsoku/>
        <w:wordWrap/>
        <w:overflowPunct w:val="0"/>
        <w:topLinePunct w:val="0"/>
        <w:autoSpaceDE/>
        <w:autoSpaceDN/>
        <w:bidi w:val="0"/>
        <w:adjustRightInd/>
        <w:spacing w:line="600" w:lineRule="exact"/>
        <w:ind w:firstLine="640" w:firstLineChars="200"/>
        <w:textAlignment w:val="auto"/>
        <w:rPr>
          <w:rFonts w:hint="eastAsia" w:ascii="黑体" w:hAnsi="黑体" w:eastAsia="黑体" w:cs="黑体"/>
          <w:i w:val="0"/>
          <w:iCs w:val="0"/>
          <w:caps w:val="0"/>
          <w:color w:val="auto"/>
          <w:spacing w:val="0"/>
          <w:sz w:val="32"/>
          <w:szCs w:val="32"/>
          <w:highlight w:val="none"/>
          <w:shd w:val="clear" w:fill="FFFFFF"/>
          <w:lang w:val="en-US" w:eastAsia="zh-CN"/>
        </w:rPr>
      </w:pPr>
      <w:r>
        <w:rPr>
          <w:rFonts w:hint="eastAsia" w:ascii="黑体" w:hAnsi="黑体" w:eastAsia="黑体" w:cs="黑体"/>
          <w:i w:val="0"/>
          <w:iCs w:val="0"/>
          <w:caps w:val="0"/>
          <w:color w:val="auto"/>
          <w:spacing w:val="0"/>
          <w:sz w:val="32"/>
          <w:szCs w:val="32"/>
          <w:highlight w:val="none"/>
          <w:shd w:val="clear" w:fill="FFFFFF"/>
          <w:lang w:val="en-US" w:eastAsia="zh-CN"/>
        </w:rPr>
        <w:t>一、过去五年和2021年工作回顾</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过去五年，是西安区振兴发展进程中极不平凡、极具挑战的五年，也是全区上下奋发有为、奋勇争先的五年。五年来，区政府坚持以习近平新时代中国特色社会主义思想为指导，在市委市政府和区委正确领导下,在区人大、区政协监督支持下，拼搏实干，砥砺奋进，昂首迈入全面小康社会，胜利完成十五届区人民政府确定的各项目标任务，为全面建设现代化西安区奠定了坚实基础。</w:t>
      </w:r>
    </w:p>
    <w:p>
      <w:pPr>
        <w:keepNext w:val="0"/>
        <w:keepLines w:val="0"/>
        <w:pageBreakBefore w:val="0"/>
        <w:widowControl w:val="0"/>
        <w:kinsoku/>
        <w:wordWrap/>
        <w:overflowPunct/>
        <w:topLinePunct w:val="0"/>
        <w:autoSpaceDE/>
        <w:autoSpaceDN/>
        <w:bidi w:val="0"/>
        <w:adjustRightInd/>
        <w:snapToGrid/>
        <w:spacing w:after="0" w:line="600" w:lineRule="exact"/>
        <w:ind w:firstLine="643"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——这五年，我们以先行争先进，积聚了晋位争先的“西安底气”。</w:t>
      </w:r>
      <w:r>
        <w:rPr>
          <w:rFonts w:hint="eastAsia" w:ascii="仿宋_GB2312" w:hAnsi="仿宋_GB2312" w:eastAsia="仿宋_GB2312" w:cs="仿宋_GB2312"/>
          <w:color w:val="auto"/>
          <w:sz w:val="32"/>
          <w:szCs w:val="32"/>
          <w:highlight w:val="none"/>
          <w:lang w:val="en-US" w:eastAsia="zh-CN"/>
        </w:rPr>
        <w:t>牢牢把握发展第一要务，坚持以“新的方略”应对发展难题、以“新的战略”引领发展方向、以“新的机制”提升发展质效，地区生产总值突破50亿元，社会消费品零售总额增速居全省前列，招商引资到位资金增速连续四年城区领跑，公共财政预算收入、固定资产投资贡献率居四城区之首，经济社会目标责任考核连续五年保持优秀档次，先后获得“国家级社区治理和服务创新实验区”“全国群众体育先进单位”“省级文明城区”等多项殊荣。</w:t>
      </w:r>
    </w:p>
    <w:p>
      <w:pPr>
        <w:keepNext w:val="0"/>
        <w:keepLines w:val="0"/>
        <w:pageBreakBefore w:val="0"/>
        <w:widowControl w:val="0"/>
        <w:kinsoku/>
        <w:wordWrap/>
        <w:overflowPunct/>
        <w:topLinePunct w:val="0"/>
        <w:autoSpaceDE/>
        <w:autoSpaceDN/>
        <w:bidi w:val="0"/>
        <w:adjustRightInd/>
        <w:snapToGrid/>
        <w:spacing w:after="0" w:line="600" w:lineRule="exact"/>
        <w:ind w:firstLine="643" w:firstLineChars="200"/>
        <w:jc w:val="both"/>
        <w:textAlignment w:val="auto"/>
        <w:rPr>
          <w:rFonts w:hint="default"/>
          <w:highlight w:val="none"/>
          <w:lang w:val="en-US" w:eastAsia="zh-CN"/>
        </w:rPr>
      </w:pPr>
      <w:r>
        <w:rPr>
          <w:rFonts w:hint="eastAsia" w:ascii="楷体_GB2312" w:hAnsi="楷体_GB2312" w:eastAsia="楷体_GB2312" w:cs="楷体_GB2312"/>
          <w:b/>
          <w:bCs/>
          <w:color w:val="auto"/>
          <w:sz w:val="32"/>
          <w:szCs w:val="32"/>
          <w:highlight w:val="none"/>
          <w:lang w:val="en-US" w:eastAsia="zh-CN"/>
        </w:rPr>
        <w:t>——这五年，我们以实干创实绩，彰显了振兴发展的“西安作为”。</w:t>
      </w:r>
      <w:r>
        <w:rPr>
          <w:rFonts w:hint="eastAsia" w:ascii="仿宋_GB2312" w:hAnsi="仿宋_GB2312" w:eastAsia="仿宋_GB2312" w:cs="仿宋_GB2312"/>
          <w:color w:val="auto"/>
          <w:sz w:val="32"/>
          <w:szCs w:val="32"/>
          <w:highlight w:val="none"/>
          <w:lang w:eastAsia="zh-CN"/>
        </w:rPr>
        <w:t>坚持大抓项目、大兴产业，累计</w:t>
      </w:r>
      <w:r>
        <w:rPr>
          <w:rFonts w:hint="eastAsia" w:ascii="仿宋_GB2312" w:hAnsi="仿宋_GB2312" w:eastAsia="仿宋_GB2312" w:cs="仿宋_GB2312"/>
          <w:color w:val="auto"/>
          <w:sz w:val="32"/>
          <w:szCs w:val="32"/>
          <w:highlight w:val="none"/>
          <w:lang w:val="en-US" w:eastAsia="zh-CN"/>
        </w:rPr>
        <w:t>实施省市“百大项目”30个、亿元以上项目26个，新签约项目数量连续三年城区第一。农业产业“从特到精”品牌效应叠加，牢记李克强总理视察我区绿色水稻时的殷切嘱托，建成东北地区唯一国家级台湾农民创业园和全省首个京东智能数字农场，</w:t>
      </w:r>
      <w:r>
        <w:rPr>
          <w:rFonts w:hint="default" w:ascii="仿宋_GB2312" w:hAnsi="仿宋_GB2312" w:eastAsia="仿宋_GB2312" w:cs="仿宋_GB2312"/>
          <w:color w:val="auto"/>
          <w:sz w:val="32"/>
          <w:szCs w:val="32"/>
          <w:highlight w:val="none"/>
          <w:lang w:val="en-US" w:eastAsia="zh-CN"/>
        </w:rPr>
        <w:t>海南乡</w:t>
      </w:r>
      <w:r>
        <w:rPr>
          <w:rFonts w:hint="eastAsia" w:ascii="仿宋_GB2312" w:hAnsi="仿宋_GB2312" w:eastAsia="仿宋_GB2312" w:cs="仿宋_GB2312"/>
          <w:color w:val="auto"/>
          <w:sz w:val="32"/>
          <w:szCs w:val="32"/>
          <w:highlight w:val="none"/>
          <w:lang w:val="en-US" w:eastAsia="zh-CN"/>
        </w:rPr>
        <w:t>跻身</w:t>
      </w:r>
      <w:r>
        <w:rPr>
          <w:rFonts w:hint="default" w:ascii="仿宋_GB2312" w:hAnsi="仿宋_GB2312" w:eastAsia="仿宋_GB2312" w:cs="仿宋_GB2312"/>
          <w:color w:val="auto"/>
          <w:sz w:val="32"/>
          <w:szCs w:val="32"/>
          <w:highlight w:val="none"/>
          <w:lang w:val="en-US" w:eastAsia="zh-CN"/>
        </w:rPr>
        <w:t>省级有机产品</w:t>
      </w:r>
      <w:r>
        <w:rPr>
          <w:rFonts w:hint="eastAsia" w:ascii="仿宋_GB2312" w:hAnsi="仿宋_GB2312" w:eastAsia="仿宋_GB2312" w:cs="仿宋_GB2312"/>
          <w:color w:val="auto"/>
          <w:sz w:val="32"/>
          <w:szCs w:val="32"/>
          <w:highlight w:val="none"/>
          <w:lang w:val="en-US" w:eastAsia="zh-CN"/>
        </w:rPr>
        <w:t>认证</w:t>
      </w:r>
      <w:r>
        <w:rPr>
          <w:rFonts w:hint="default" w:ascii="仿宋_GB2312" w:hAnsi="仿宋_GB2312" w:eastAsia="仿宋_GB2312" w:cs="仿宋_GB2312"/>
          <w:color w:val="auto"/>
          <w:sz w:val="32"/>
          <w:szCs w:val="32"/>
          <w:highlight w:val="none"/>
          <w:lang w:val="en-US" w:eastAsia="zh-CN"/>
        </w:rPr>
        <w:t>示范区</w:t>
      </w:r>
      <w:r>
        <w:rPr>
          <w:rFonts w:hint="eastAsia" w:ascii="仿宋_GB2312" w:hAnsi="仿宋_GB2312" w:eastAsia="仿宋_GB2312" w:cs="仿宋_GB2312"/>
          <w:color w:val="auto"/>
          <w:sz w:val="32"/>
          <w:szCs w:val="32"/>
          <w:highlight w:val="none"/>
          <w:lang w:val="en-US" w:eastAsia="zh-CN"/>
        </w:rPr>
        <w:t>，全区绿色有机认证面积突破2.5万亩，“两品一标”达到67个。工业产业“从制到智”加快迭代升级，相继实施技改项目12项，累计认定国家高新技术企业19户、省级科技型中小企业24户，富通空调完成与上市公司战略重组。商贸产业“从多到优”能级不断提升，万达、新玛特成为全市商业新地标，星巴克、海底捞、马克西姆等知名品牌相继入驻，市场主体增至1.69万户。文旅产业“从点到面”实现拓展突破，以中兴村、朝鲜民俗风情街为代表，串点连线、内外联动、跨界链接的全域旅游发展框架愈加清晰。互联网产业中心、新经济产业园、新文创产业园、携程呼叫中心“从无到有”，累计入驻项目46个，引领全市新经济产业发展。</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3" w:firstLineChars="200"/>
        <w:textAlignment w:val="auto"/>
        <w:rPr>
          <w:rFonts w:hint="default"/>
          <w:highlight w:val="none"/>
          <w:lang w:val="en-US" w:eastAsia="zh-CN"/>
        </w:rPr>
      </w:pPr>
      <w:r>
        <w:rPr>
          <w:rFonts w:hint="eastAsia" w:ascii="楷体_GB2312" w:hAnsi="楷体_GB2312" w:eastAsia="楷体_GB2312" w:cs="楷体_GB2312"/>
          <w:b/>
          <w:bCs/>
          <w:color w:val="auto"/>
          <w:kern w:val="2"/>
          <w:sz w:val="32"/>
          <w:szCs w:val="32"/>
          <w:highlight w:val="none"/>
          <w:lang w:val="en-US" w:eastAsia="zh-CN" w:bidi="ar-SA"/>
        </w:rPr>
        <w:t>——这五年，我们以共建促共享，提升了生态宜居的“西安形象”。</w:t>
      </w:r>
      <w:r>
        <w:rPr>
          <w:rFonts w:hint="eastAsia" w:ascii="仿宋_GB2312" w:hAnsi="仿宋_GB2312" w:eastAsia="仿宋_GB2312" w:cs="仿宋_GB2312"/>
          <w:color w:val="auto"/>
          <w:kern w:val="2"/>
          <w:sz w:val="32"/>
          <w:szCs w:val="32"/>
          <w:highlight w:val="none"/>
          <w:lang w:val="en-US" w:eastAsia="zh-CN" w:bidi="ar-SA"/>
        </w:rPr>
        <w:t>坚持西部开发、老城更新一体推进，累计征拆土地131.5万平方米，完成开发700余万平方米、旧改216万平方米、棚改400余万平方米，121栋高层建筑拔地而起，建成区面积增长21%。镇村环境面貌持续提升，完成农村道路硬化40万平方米、绿化8.5万平方米、危房改造320间、改厕1316户，建成省级美丽乡村示范村7个，南拉古村获评省级村庄绿化示范村，中兴村荣获“全国一村一品示范村”“全国乡村治理示范村”等多项国字号殊荣，城乡内在功能、外在形象发生根本性变化。</w:t>
      </w:r>
    </w:p>
    <w:p>
      <w:pPr>
        <w:keepNext w:val="0"/>
        <w:keepLines w:val="0"/>
        <w:pageBreakBefore w:val="0"/>
        <w:widowControl w:val="0"/>
        <w:kinsoku/>
        <w:wordWrap/>
        <w:overflowPunct/>
        <w:topLinePunct w:val="0"/>
        <w:autoSpaceDE/>
        <w:autoSpaceDN/>
        <w:bidi w:val="0"/>
        <w:adjustRightInd/>
        <w:snapToGrid/>
        <w:spacing w:after="0" w:line="600" w:lineRule="exact"/>
        <w:ind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——这五年，我们以防范筑防线，挺起了大战大考的“西安担当”。</w:t>
      </w:r>
      <w:r>
        <w:rPr>
          <w:rFonts w:hint="eastAsia" w:ascii="仿宋_GB2312" w:hAnsi="仿宋_GB2312" w:eastAsia="仿宋_GB2312" w:cs="仿宋_GB2312"/>
          <w:color w:val="auto"/>
          <w:sz w:val="32"/>
          <w:szCs w:val="32"/>
          <w:highlight w:val="none"/>
          <w:lang w:val="en-US" w:eastAsia="zh-CN"/>
        </w:rPr>
        <w:t>脱贫攻坚胜利完成，11户28人建档立卡贫困户在全市率先精准退出，年人均纯收入提升到13484元，同比增幅位居全市首位，高于省市平均水平。生态环境持续改善，整改销号中央和省环保督察及“回头看”反馈问题25项，违建别墅和大棚房、农村乱占耕地建房、燃煤锅炉整治取缔等既定任务高效完成，西水源地保护区污染源全部排除，河湖“清四乱”成为全市典范，秸秆综合利用率提高到90.6%。着力防范重大风险，累计清偿乡镇债务961万元，牢牢守住了财政安全底线。面对突如其来的新冠肺炎疫情，全区人民众志成城，以实际行动诠释伟大抗疫精神，成功抵御13波疫情冲击，有效维护了全省全市疫情防控大局。</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bCs/>
          <w:color w:val="auto"/>
          <w:kern w:val="2"/>
          <w:sz w:val="32"/>
          <w:szCs w:val="32"/>
          <w:highlight w:val="none"/>
          <w:lang w:val="en-US" w:eastAsia="zh-CN" w:bidi="ar-SA"/>
        </w:rPr>
        <w:t>——这五年，我们以民生聚民心，厚植了一心为民的“西安内涵”。</w:t>
      </w:r>
      <w:r>
        <w:rPr>
          <w:rFonts w:hint="eastAsia" w:ascii="仿宋_GB2312" w:hAnsi="仿宋_GB2312" w:eastAsia="仿宋_GB2312" w:cs="仿宋_GB2312"/>
          <w:color w:val="auto"/>
          <w:sz w:val="32"/>
          <w:szCs w:val="32"/>
          <w:highlight w:val="none"/>
          <w:lang w:val="en-US" w:eastAsia="zh-CN"/>
        </w:rPr>
        <w:t>承诺的34件利民实事全部办结，民生支出占一般公共预算收入比重稳定在85%以上，城镇居民人均可支配收入突破2.8万元。始终把群众冷暖放在心头，累计新增城镇就业3万人、登记失业率年均保持4%以内；足额发放各类保障金1.1亿元、救助困难群体24万人次；义务教育均衡发展高标准通过国家验收，向阳小学等一大批民生项目建成使用；社会治安防控体系更加完善，安全形势总体平稳，居民合理诉求有效解决，群众的获得感成色更足、幸福感更可持续、安全感更有保障。</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各位代表，2021年是中国共产党成立100周年，又逢“两个一百年”交汇、“两个大局”交织，是极其特殊的一年。一年来，区政府全面贯彻落实市委市政府和区委决策部署，统筹推进疫情防控和经济社会发展，全区经济逐步企稳复苏，社会大局保持稳定，实现了“十四五”良好开局。一年来的工作主要体现在六个方面:</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3"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一是强化发展定力，经济基础更加稳固。</w:t>
      </w:r>
      <w:r>
        <w:rPr>
          <w:rFonts w:hint="eastAsia" w:ascii="仿宋_GB2312" w:hAnsi="仿宋_GB2312" w:eastAsia="仿宋_GB2312" w:cs="仿宋_GB2312"/>
          <w:b w:val="0"/>
          <w:bCs w:val="0"/>
          <w:color w:val="auto"/>
          <w:sz w:val="32"/>
          <w:szCs w:val="32"/>
          <w:highlight w:val="none"/>
          <w:lang w:val="en-US" w:eastAsia="zh-CN"/>
        </w:rPr>
        <w:t>坚定不移抓招商、上项目、增后劲，全年地区生产总值完成52.95亿元、增长6.3%。</w:t>
      </w:r>
      <w:r>
        <w:rPr>
          <w:rFonts w:hint="eastAsia" w:ascii="仿宋_GB2312" w:hAnsi="仿宋_GB2312" w:eastAsia="仿宋_GB2312" w:cs="仿宋_GB2312"/>
          <w:color w:val="auto"/>
          <w:sz w:val="32"/>
          <w:szCs w:val="32"/>
          <w:highlight w:val="none"/>
          <w:lang w:val="en-US" w:eastAsia="zh-CN"/>
        </w:rPr>
        <w:t>项目建设强劲有力，累计开复工亿元以上项目17个、500万元以上项目93个，全域旅游、嘉华星级酒店等26个省市百大项目“四率”领跑城区、获一档奖励资金300万元，优斯特购物中心、龙建混凝土等54个项目实现竣工，固定资产投资总额增长37.8%、高于全省全市平均水平。招商引资持续升温，新签约中韩食品产业园等亿元以上项目</w:t>
      </w:r>
      <w:r>
        <w:rPr>
          <w:rFonts w:hint="eastAsia" w:ascii="仿宋_GB2312" w:hAnsi="仿宋_GB2312" w:eastAsia="仿宋_GB2312" w:cs="仿宋_GB2312"/>
          <w:color w:val="auto"/>
          <w:sz w:val="32"/>
          <w:szCs w:val="32"/>
          <w:highlight w:val="none"/>
          <w:u w:val="none"/>
          <w:lang w:val="en-US" w:eastAsia="zh-CN"/>
        </w:rPr>
        <w:t>11</w:t>
      </w:r>
      <w:r>
        <w:rPr>
          <w:rFonts w:hint="eastAsia" w:ascii="仿宋_GB2312" w:hAnsi="仿宋_GB2312" w:eastAsia="仿宋_GB2312" w:cs="仿宋_GB2312"/>
          <w:color w:val="auto"/>
          <w:sz w:val="32"/>
          <w:szCs w:val="32"/>
          <w:highlight w:val="none"/>
          <w:lang w:val="en-US" w:eastAsia="zh-CN"/>
        </w:rPr>
        <w:t>个，名品运动等千万元以上项目60个，签约落地率达93%，招商引资到位资金同比增长58.2%。努力做大财力规模，争取到位各类资金3.76亿元，新增政府债券1.67亿元，克服全口径减税降费2.1亿元、房地产建筑业一次性减收4700万元的收支压力，一般公共预算收入完成2.55亿元，其中税收占比达到88.7%。</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3" w:firstLineChars="200"/>
        <w:textAlignment w:val="auto"/>
        <w:rPr>
          <w:rFonts w:hint="default"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二是聚力结构优化，发展质效稳步提升。</w:t>
      </w:r>
      <w:r>
        <w:rPr>
          <w:rFonts w:hint="eastAsia" w:ascii="仿宋_GB2312" w:hAnsi="仿宋_GB2312" w:eastAsia="仿宋_GB2312" w:cs="仿宋_GB2312"/>
          <w:b w:val="0"/>
          <w:bCs w:val="0"/>
          <w:color w:val="auto"/>
          <w:sz w:val="32"/>
          <w:szCs w:val="32"/>
          <w:highlight w:val="none"/>
          <w:lang w:val="en-US" w:eastAsia="zh-CN"/>
        </w:rPr>
        <w:t>把提高产业层次作为重中之重，全力推动产业发展向高质量迈进。现代农业提质增效，“牡丹江大米”商标注册成功，</w:t>
      </w:r>
      <w:r>
        <w:rPr>
          <w:rFonts w:hint="eastAsia" w:ascii="仿宋_GB2312" w:hAnsi="仿宋_GB2312" w:eastAsia="仿宋_GB2312" w:cs="仿宋_GB2312"/>
          <w:b w:val="0"/>
          <w:bCs w:val="0"/>
          <w:color w:val="auto"/>
          <w:sz w:val="32"/>
          <w:szCs w:val="32"/>
          <w:highlight w:val="none"/>
          <w:rtl w:val="0"/>
          <w:lang w:val="en-US" w:eastAsia="zh-CN"/>
        </w:rPr>
        <w:t>稻米文化展示馆建成开放，</w:t>
      </w:r>
      <w:r>
        <w:rPr>
          <w:rFonts w:hint="eastAsia" w:ascii="仿宋_GB2312" w:hAnsi="仿宋_GB2312" w:eastAsia="仿宋_GB2312" w:cs="仿宋_GB2312"/>
          <w:b w:val="0"/>
          <w:bCs w:val="0"/>
          <w:color w:val="auto"/>
          <w:sz w:val="32"/>
          <w:szCs w:val="32"/>
          <w:highlight w:val="none"/>
          <w:lang w:val="en-US" w:eastAsia="zh-CN"/>
        </w:rPr>
        <w:t>温春烤烟综合体、北纯扩建等“两头两尾”项目投入生产，古榆公园、红星花海等休闲农业蓬勃发展，新建成的粮食物流中心入驻益海、全丰等总部企业7户，农业托管面积突破2万亩。工业经济平稳增长，富通空调产销量再创新高，新蓝天钢结构、康泰生物扩建等项目建成投产，富通配套产业园建设实质破题，全年新增国家级高新技术企业9家、规上工业企业1户，规上工业增加值增长0.4%。商业氛围日益浓厚，韩国商品免税购物中心、民族食品产业园等项目建成运营，“云经济”、促销费等系列活动拉动消费2.6亿元，全年新增限上企业10户，社会消费品零售总额增长9.9%。新经济产业加速发展，成立全市首家电商直播协会，新文创产业园、新经济产业园新引进澳瀚斯、仁和堂等项目21个，全区电子商务交易额增长10%。</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3"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三是坚持乘势而上，旅发效应充分释放。</w:t>
      </w:r>
      <w:r>
        <w:rPr>
          <w:rFonts w:hint="eastAsia" w:ascii="仿宋_GB2312" w:hAnsi="仿宋_GB2312" w:eastAsia="仿宋_GB2312" w:cs="仿宋_GB2312"/>
          <w:b w:val="0"/>
          <w:bCs w:val="0"/>
          <w:color w:val="auto"/>
          <w:sz w:val="32"/>
          <w:szCs w:val="32"/>
          <w:highlight w:val="none"/>
          <w:lang w:val="en-US" w:eastAsia="zh-CN"/>
        </w:rPr>
        <w:t>抢抓旅发机遇，全力以一地一域精彩为全局全域添彩。“一村一街一带一路一街区”建设成效显著，国际书画文博中心、解放印巷等72个项目连点结网贯通全域，峰悦微度假小镇成功打造全省第一家3.0版自驾车营地，中兴村成为全市旅游新地标，朝鲜族文旅商贸园区获批全省首批旅游休闲街区，牡海城际公路景观大道愈加靓丽，解放路百年老街旧貌换新颜，温春文旅街区辟建城市近郊游新空间，“西安作为”赢得广泛赞誉，全年接待游客、旅游收入分别增长160%和170%。坚持“景城一体”推进城乡环境整治，全年实施老旧小区改造81.5万平方米、农村危房改造15户、拆除私搭乱建757处、清运垃圾2420吨、新增物业管理面积102万平方米、建成农村污水处理设施2个，90%行政村达到清洁标准，中兴村荣获“全省最佳特色民宿示范村”。</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3"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四是坚定必胜信心，疫情防控精准有力。</w:t>
      </w:r>
      <w:r>
        <w:rPr>
          <w:rFonts w:hint="eastAsia" w:ascii="仿宋_GB2312" w:hAnsi="仿宋_GB2312" w:eastAsia="仿宋_GB2312" w:cs="仿宋_GB2312"/>
          <w:b w:val="0"/>
          <w:bCs w:val="0"/>
          <w:color w:val="auto"/>
          <w:sz w:val="32"/>
          <w:szCs w:val="32"/>
          <w:highlight w:val="none"/>
          <w:lang w:val="en-US" w:eastAsia="zh-CN"/>
        </w:rPr>
        <w:t>始终坚持人民至上、生命至上，面对国内疫情多点散发、省内聚集性疫情频发的严峻形势，以硬核担当取得了全年“本土零病例”战果。坚持精准施策、科学管控，累计核查研判重点人员信息37803条、落实管控10156人、完成重点人群和场所核酸检测10.7万次，率先开设夜间延时接种点、完成第一针接种194069人、第二针189274人、加强针135845人，以最快速度筑牢安全屏障。坚持联防联控、向疫而行，1500余名党员干部、社区工作者、医护人员、公安干警、志愿者、人大代表、政协委员，深入大街小巷、交通卡口、高铁新站日夜奋战、巡逻值守，汇聚了共同守好家门、筑牢防线的强大合力。坚持统筹资源、提升能力，建成全市冷链监管仓和先锋医院PCR实验室，集中储备流调队伍214人、隔离房间1449间，核酸检测能力提升到1.5万管每日，全场景模拟演练高效完成，应急处置和社会动员能力全面提升。</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3"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五是践行为民服务，民生福祉持续增进。</w:t>
      </w:r>
      <w:r>
        <w:rPr>
          <w:rFonts w:hint="eastAsia" w:ascii="仿宋_GB2312" w:hAnsi="仿宋_GB2312" w:eastAsia="仿宋_GB2312" w:cs="仿宋_GB2312"/>
          <w:color w:val="auto"/>
          <w:sz w:val="32"/>
          <w:szCs w:val="32"/>
          <w:highlight w:val="none"/>
          <w:lang w:val="en-US" w:eastAsia="zh-CN"/>
        </w:rPr>
        <w:t>持续加大民生投入，全年民生支出4.63亿元，占财政支出的85%。兜牢社会保障底线。落实稳就业“60条”政策措施，兑现灵活就业补贴1639万元，城镇登记失业率低于省控目标2.7个百分点，</w:t>
      </w:r>
      <w:r>
        <w:rPr>
          <w:rFonts w:hint="eastAsia" w:ascii="仿宋_GB2312" w:eastAsia="仿宋_GB2312"/>
          <w:sz w:val="32"/>
          <w:szCs w:val="32"/>
          <w:highlight w:val="none"/>
          <w:lang w:val="en-US" w:eastAsia="zh-CN"/>
        </w:rPr>
        <w:t>保持农民工欠薪案件动态清零</w:t>
      </w:r>
      <w:r>
        <w:rPr>
          <w:rFonts w:hint="eastAsia" w:ascii="仿宋_GB2312" w:hAnsi="仿宋_GB2312" w:eastAsia="仿宋_GB2312" w:cs="仿宋_GB2312"/>
          <w:color w:val="auto"/>
          <w:sz w:val="32"/>
          <w:szCs w:val="32"/>
          <w:highlight w:val="none"/>
          <w:lang w:val="en-US" w:eastAsia="zh-CN"/>
        </w:rPr>
        <w:t>；发放各类救助金2160万元，惠及困难群众4.8万人次；</w:t>
      </w:r>
      <w:r>
        <w:rPr>
          <w:rFonts w:hint="eastAsia" w:ascii="仿宋_GB2312" w:eastAsia="仿宋_GB2312"/>
          <w:sz w:val="32"/>
          <w:szCs w:val="32"/>
          <w:highlight w:val="none"/>
          <w:lang w:val="en-US" w:eastAsia="zh-CN"/>
        </w:rPr>
        <w:t>建成街道养老服务中心5个、社区日间照料室22个，覆盖率分别达86%和81%；退役军人服务保障体系建设实现全覆盖，“一中心、两站”服务网络更加健全。</w:t>
      </w:r>
      <w:r>
        <w:rPr>
          <w:rFonts w:hint="eastAsia" w:ascii="仿宋_GB2312" w:hAnsi="仿宋_GB2312" w:eastAsia="仿宋_GB2312" w:cs="仿宋_GB2312"/>
          <w:color w:val="auto"/>
          <w:sz w:val="32"/>
          <w:szCs w:val="32"/>
          <w:highlight w:val="none"/>
          <w:lang w:val="en-US" w:eastAsia="zh-CN"/>
        </w:rPr>
        <w:t>把牢社会事业主线。坚持教育优先发展，建成全市首家AI校园安全教育体验馆，操场改造等5项校园提升工程全部完成，城乡教师交流47人，学生课后服务参与率达92%，学科类培训机构压减比例达100%；公共卫生服务能力不断提升，医政医改深入推进，健康管理“双岗联系人”制度全面实施，海南乡卫生院实现提档升级；强化文化惠民，南拉古体育广场建成开放，全年开展“庆祝中国共产党成立100周年”系列活动百余场。守牢安全稳定防线。顺利完成村（居）委会换届，建成区综治中心及海南乡等3个基层调解室；聚焦“保安全迎大庆”，扎实开展安全生产“十查十治”、食药安全“铁拳”行动、信访“治重化积”专项行动，常态化推进行业领域扫黑除恶斗争，全年未发生较大生产安全事故</w:t>
      </w:r>
      <w:r>
        <w:rPr>
          <w:rFonts w:hint="eastAsia" w:ascii="仿宋_GB2312" w:hAnsi="仿宋_GB2312" w:eastAsia="仿宋_GB2312" w:cs="仿宋_GB2312"/>
          <w:b w:val="0"/>
          <w:bCs w:val="0"/>
          <w:color w:val="000000"/>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自然灾害综合风险普查全面完成，治安、刑事案件下降3%和17%，区统计局、信访局</w:t>
      </w:r>
      <w:r>
        <w:rPr>
          <w:rFonts w:hint="eastAsia" w:ascii="仿宋_GB2312" w:hAnsi="仿宋_GB2312" w:eastAsia="仿宋_GB2312" w:cs="仿宋_GB2312"/>
          <w:b w:val="0"/>
          <w:bCs w:val="0"/>
          <w:color w:val="000000"/>
          <w:sz w:val="32"/>
          <w:szCs w:val="32"/>
          <w:highlight w:val="none"/>
          <w:lang w:val="en-US" w:eastAsia="zh-CN"/>
        </w:rPr>
        <w:t>荣获“省级先进集体”</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3" w:firstLineChars="200"/>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六是致力提速提效，自身建设不断加强。</w:t>
      </w:r>
      <w:r>
        <w:rPr>
          <w:rFonts w:hint="eastAsia" w:ascii="仿宋_GB2312" w:hAnsi="仿宋_GB2312" w:eastAsia="仿宋_GB2312" w:cs="仿宋_GB2312"/>
          <w:b w:val="0"/>
          <w:bCs w:val="0"/>
          <w:color w:val="auto"/>
          <w:sz w:val="32"/>
          <w:szCs w:val="32"/>
          <w:highlight w:val="none"/>
          <w:lang w:val="en-US" w:eastAsia="zh-CN"/>
        </w:rPr>
        <w:t>坚持依法行政、从严治政，全面提升政府效能。始终把政治建设摆在首位，扎实开展政府系统党史学习教育和“我为群众办实事”实践活动，严格落实意识形态工作责任制，更加自觉增强“四个意识”、坚定“四个自信”、做到“两个维护”，将忠诚和看齐落实到政府工作全过程。始终把依法行政贯穿始终，大力推进法治政府建设，严格执行“三重一大”决策制度，重大事项合法性审查实现全覆盖；主动接受人大、政协监督，办理市区两级人大代表建议和政协委员提案47件，办结率和满意率均达100%。始终把提升效能作为根本，持续深化“放管服”改革，进一步优化营商环境，累计帮助企业争取贷款3800万元，梳理公布“办事不求人”事项清单196项、“最多跑一次”事项清单146项、“一件事”事项清单56项，267项政务服务事项实现集中“一窗”办理，西安区“办事不求人”政务服务品牌在新华网推广，区政务服务大厅跻身全省首届实体政务服务大厅评比“十优”大厅。始终把廉政勤政化为行动，认真落实全面从严治党主体责任和“一岗双责”，严格执行中央八项规定精神和省委市委有关规定，驰而不息改“四风”转作风，强化审计监督，支持监委工作，坚决整治“微腐败”和侵害群众利益行为，严实守纪、进取担当、雷厉风行、善作善成的工作作风正在加快形成。</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各位代表！回首过去的五年，历经的考验前所未有，付出的努力非比寻常，取得的成绩来之不易。这些成绩的取得，得益于市委市政府和区委的正确领导，得益于区人大、区政协的鼎力支持，得益于税务、公安、消防、城管等驻区单位的全力配合，得益于全区干部群众的辛勤付出。在此，我代表区人民政府，向各位人大代表、政协委员，向全区广大干部群众，向所有参与、支持、关心西安区建设发展的同志们、朋友们，表示衷心的感谢和崇高的敬意!</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各位代表！在总结成绩经验的同时，我们也清醒看到发展中的差距和工作中的不足：从区域综合实力看，经济总量不大、质量效益不高、项目带动不足、科技支撑不够等问题依然存在，刚性支出和政策性支出有增无减，财政保运转、保民生压力较大；从产业规模层级看，产业结构不优，传统产业规模小、链条短、效益低，新兴产业规模化、集约化水平不高，新动能培育还需进一步提速；从民生事业发展看，教育、医疗、社保等民生工作与人民群众的新期盼还有不小差距，公共卫生、社会治理等方面还存在薄弱环节；从政府自身建设看，一些干部对新形势新任务新问题缺乏新办法，担当精神、服务意识、干事劲头都还有待提升。对这些问题，我们一定高度重视，不回避，不掩盖，采取坚决有力措施加以解决。</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黑体" w:hAnsi="黑体" w:eastAsia="黑体" w:cs="黑体"/>
          <w:color w:val="000000"/>
          <w:sz w:val="32"/>
          <w:szCs w:val="32"/>
          <w:highlight w:val="none"/>
          <w:lang w:val="en-US" w:eastAsia="zh-CN"/>
        </w:rPr>
      </w:pPr>
      <w:r>
        <w:rPr>
          <w:rFonts w:hint="eastAsia" w:ascii="黑体" w:hAnsi="黑体" w:eastAsia="黑体" w:cs="黑体"/>
          <w:color w:val="000000"/>
          <w:sz w:val="32"/>
          <w:szCs w:val="32"/>
          <w:highlight w:val="none"/>
          <w:lang w:val="en-US" w:eastAsia="zh-CN"/>
        </w:rPr>
        <w:t>二、今后五年目标任务</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楷体_GB2312" w:hAnsi="楷体_GB2312" w:eastAsia="楷体_GB2312" w:cs="楷体_GB2312"/>
          <w:b/>
          <w:bCs/>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今后五年，是全面建设社会主义现代化国家新征程的重要五年，也是加快推动西安区高质量发展的关键五年。紧扣区第十一次党代会要求部署，</w:t>
      </w:r>
      <w:r>
        <w:rPr>
          <w:rFonts w:hint="eastAsia" w:ascii="楷体" w:hAnsi="楷体" w:eastAsia="楷体" w:cs="楷体"/>
          <w:b/>
          <w:bCs/>
          <w:color w:val="000000"/>
          <w:sz w:val="32"/>
          <w:szCs w:val="32"/>
          <w:highlight w:val="none"/>
          <w:lang w:val="en-US" w:eastAsia="zh-CN"/>
        </w:rPr>
        <w:t>今后五年区政府总体工作思路是：</w:t>
      </w:r>
      <w:r>
        <w:rPr>
          <w:rFonts w:hint="eastAsia" w:ascii="黑体" w:hAnsi="黑体" w:eastAsia="黑体" w:cs="黑体"/>
          <w:b w:val="0"/>
          <w:bCs w:val="0"/>
          <w:color w:val="000000"/>
          <w:sz w:val="32"/>
          <w:szCs w:val="32"/>
          <w:highlight w:val="none"/>
          <w:lang w:val="en-US" w:eastAsia="zh-CN"/>
        </w:rPr>
        <w:t>坚持以习近平新时代中国特色社会主义思想为指导，深入贯彻习近平总书记系列重要讲话精神，认真落实“五位一体”总体布局、“四个全面”战略布局，立足新发展阶段，完整、准确、全面贯彻新发展理念，服务和融入新发展格局，坚持稳中求进工作总基调，以解放思想为先导，以推动高质量发展为主题，以深化供给侧结构性改革为主线，以改革创新为根本动力，以满足人民日益增长的美好生活需要为根本目的，落实市委“六个新牡丹江”、市政府“五个聚焦”和区委“六个新西安”决策部署，深入实施“商贸升级、西部开发、工业复兴、文旅突破”，全力建设“三新三区”，扎实推进共同富裕，奋力谱写现代化美好西安区建设新篇章。</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3" w:firstLineChars="200"/>
        <w:textAlignment w:val="auto"/>
        <w:rPr>
          <w:rFonts w:hint="default"/>
          <w:highlight w:val="none"/>
          <w:lang w:val="en-US" w:eastAsia="zh-CN"/>
        </w:rPr>
      </w:pPr>
      <w:r>
        <w:rPr>
          <w:rFonts w:hint="eastAsia" w:ascii="楷体_GB2312" w:hAnsi="楷体_GB2312" w:eastAsia="楷体_GB2312" w:cs="楷体_GB2312"/>
          <w:b/>
          <w:bCs/>
          <w:color w:val="000000"/>
          <w:sz w:val="32"/>
          <w:szCs w:val="32"/>
          <w:highlight w:val="none"/>
          <w:lang w:val="en-US" w:eastAsia="zh-CN"/>
        </w:rPr>
        <w:t>今后五年经济社会发展主要目标是：</w:t>
      </w:r>
      <w:r>
        <w:rPr>
          <w:rFonts w:hint="eastAsia" w:ascii="仿宋_GB2312" w:hAnsi="仿宋_GB2312" w:eastAsia="仿宋_GB2312" w:cs="仿宋_GB2312"/>
          <w:b w:val="0"/>
          <w:bCs w:val="0"/>
          <w:color w:val="000000"/>
          <w:sz w:val="32"/>
          <w:szCs w:val="32"/>
          <w:highlight w:val="none"/>
          <w:lang w:val="en-US" w:eastAsia="zh-CN"/>
        </w:rPr>
        <w:t>到2026年，全区地区生产总值年均增长5.5%左右，城乡居民收入实现稳步增长，全面振兴全方位振兴取得显著成效。</w:t>
      </w:r>
      <w:r>
        <w:rPr>
          <w:rFonts w:hint="eastAsia" w:ascii="仿宋_GB2312" w:hAnsi="仿宋_GB2312" w:eastAsia="仿宋_GB2312" w:cs="仿宋_GB2312"/>
          <w:b/>
          <w:bCs/>
          <w:color w:val="000000"/>
          <w:sz w:val="32"/>
          <w:szCs w:val="32"/>
          <w:highlight w:val="none"/>
          <w:lang w:val="en-US" w:eastAsia="zh-CN"/>
        </w:rPr>
        <w:t>一是坚持以创新发展为支撑，全面构建现代产业新体系。</w:t>
      </w:r>
      <w:r>
        <w:rPr>
          <w:rFonts w:hint="eastAsia" w:ascii="仿宋_GB2312" w:hAnsi="仿宋_GB2312" w:eastAsia="仿宋_GB2312" w:cs="仿宋_GB2312"/>
          <w:b w:val="0"/>
          <w:bCs w:val="0"/>
          <w:color w:val="000000"/>
          <w:sz w:val="32"/>
          <w:szCs w:val="32"/>
          <w:highlight w:val="none"/>
          <w:lang w:val="en-US" w:eastAsia="zh-CN"/>
        </w:rPr>
        <w:t>绿特农业全面发展，工业经济底盘不断夯实，现代服务业提质扩容，数字经济等新经济形态发展壮大，高端引领、多产支撑的现代产业体系加速形成，创新创业支撑作用显著增强，高质量发展综合质量效益持续提升。</w:t>
      </w:r>
      <w:r>
        <w:rPr>
          <w:rFonts w:hint="eastAsia" w:ascii="仿宋_GB2312" w:hAnsi="仿宋_GB2312" w:eastAsia="仿宋_GB2312" w:cs="仿宋_GB2312"/>
          <w:b/>
          <w:bCs/>
          <w:color w:val="000000"/>
          <w:sz w:val="32"/>
          <w:szCs w:val="32"/>
          <w:highlight w:val="none"/>
          <w:lang w:val="en-US" w:eastAsia="zh-CN"/>
        </w:rPr>
        <w:t>二是坚持以协调发展为引领，全面开创城乡融合新格局。</w:t>
      </w:r>
      <w:r>
        <w:rPr>
          <w:rFonts w:hint="eastAsia" w:ascii="仿宋_GB2312" w:hAnsi="仿宋_GB2312" w:eastAsia="仿宋_GB2312" w:cs="仿宋_GB2312"/>
          <w:b w:val="0"/>
          <w:bCs w:val="0"/>
          <w:color w:val="000000"/>
          <w:sz w:val="32"/>
          <w:szCs w:val="32"/>
          <w:highlight w:val="none"/>
          <w:lang w:val="en-US" w:eastAsia="zh-CN"/>
        </w:rPr>
        <w:t>城乡协同发展水平明显提高，</w:t>
      </w:r>
      <w:r>
        <w:rPr>
          <w:rFonts w:hint="eastAsia" w:ascii="仿宋_GB2312" w:hAnsi="仿宋_GB2312" w:eastAsia="仿宋_GB2312" w:cs="仿宋_GB2312"/>
          <w:color w:val="auto"/>
          <w:spacing w:val="0"/>
          <w:sz w:val="32"/>
          <w:szCs w:val="32"/>
          <w:highlight w:val="none"/>
          <w:lang w:val="en-US" w:eastAsia="zh-CN"/>
        </w:rPr>
        <w:t>乡村振兴战略全面推进，以全域旅游、休闲康养为带动的产城融合取得新成效，</w:t>
      </w:r>
      <w:r>
        <w:rPr>
          <w:rFonts w:hint="eastAsia" w:ascii="仿宋_GB2312" w:hAnsi="仿宋_GB2312" w:eastAsia="仿宋_GB2312" w:cs="仿宋_GB2312"/>
          <w:b w:val="0"/>
          <w:bCs w:val="0"/>
          <w:color w:val="000000"/>
          <w:sz w:val="32"/>
          <w:szCs w:val="32"/>
          <w:highlight w:val="none"/>
          <w:lang w:val="en-US" w:eastAsia="zh-CN"/>
        </w:rPr>
        <w:t>社会文明程度、公共文化服务水平、文化产业规模质量显著提升，</w:t>
      </w:r>
      <w:r>
        <w:rPr>
          <w:rFonts w:hint="eastAsia" w:ascii="仿宋_GB2312" w:hAnsi="仿宋_GB2312" w:eastAsia="仿宋_GB2312" w:cs="仿宋_GB2312"/>
          <w:color w:val="auto"/>
          <w:spacing w:val="0"/>
          <w:sz w:val="32"/>
          <w:szCs w:val="32"/>
          <w:highlight w:val="none"/>
          <w:lang w:val="en-US" w:eastAsia="zh-CN"/>
        </w:rPr>
        <w:t>中心城区辐射带动作用更加突出</w:t>
      </w:r>
      <w:r>
        <w:rPr>
          <w:rFonts w:hint="eastAsia" w:ascii="仿宋_GB2312" w:hAnsi="仿宋_GB2312" w:eastAsia="仿宋_GB2312" w:cs="仿宋_GB2312"/>
          <w:b w:val="0"/>
          <w:bCs w:val="0"/>
          <w:color w:val="000000"/>
          <w:sz w:val="32"/>
          <w:szCs w:val="32"/>
          <w:highlight w:val="none"/>
          <w:lang w:val="en-US" w:eastAsia="zh-CN"/>
        </w:rPr>
        <w:t>，文化软实力持续增强。</w:t>
      </w:r>
      <w:r>
        <w:rPr>
          <w:rFonts w:hint="eastAsia" w:ascii="仿宋_GB2312" w:hAnsi="仿宋_GB2312" w:eastAsia="仿宋_GB2312" w:cs="仿宋_GB2312"/>
          <w:b/>
          <w:bCs/>
          <w:color w:val="000000"/>
          <w:sz w:val="32"/>
          <w:szCs w:val="32"/>
          <w:highlight w:val="none"/>
          <w:lang w:val="en-US" w:eastAsia="zh-CN"/>
        </w:rPr>
        <w:t>三是坚持以绿色发展为前提，全面打造生态文明新家园。</w:t>
      </w:r>
      <w:r>
        <w:rPr>
          <w:rFonts w:hint="eastAsia" w:ascii="仿宋_GB2312" w:hAnsi="仿宋_GB2312" w:eastAsia="仿宋_GB2312" w:cs="仿宋_GB2312"/>
          <w:b w:val="0"/>
          <w:bCs w:val="0"/>
          <w:color w:val="000000"/>
          <w:sz w:val="32"/>
          <w:szCs w:val="32"/>
          <w:highlight w:val="none"/>
          <w:lang w:val="en-US" w:eastAsia="zh-CN"/>
        </w:rPr>
        <w:t>坚定不移走生态优先、绿色低碳的高质量发展道路，生态环境持续改善，生态安全屏障更加牢固，</w:t>
      </w:r>
      <w:r>
        <w:rPr>
          <w:rFonts w:hint="eastAsia" w:ascii="仿宋_GB2312" w:hAnsi="仿宋_GB2312" w:eastAsia="仿宋_GB2312" w:cs="仿宋_GB2312"/>
          <w:color w:val="auto"/>
          <w:spacing w:val="0"/>
          <w:sz w:val="32"/>
          <w:szCs w:val="32"/>
          <w:highlight w:val="none"/>
          <w:lang w:val="en-US" w:eastAsia="zh-CN"/>
        </w:rPr>
        <w:t>碳达峰、碳中和工作有力推进，可持续发展能力不断提升，</w:t>
      </w:r>
      <w:r>
        <w:rPr>
          <w:rFonts w:hint="eastAsia" w:ascii="仿宋_GB2312" w:hAnsi="仿宋_GB2312" w:eastAsia="仿宋_GB2312" w:cs="仿宋_GB2312"/>
          <w:b w:val="0"/>
          <w:bCs w:val="0"/>
          <w:color w:val="000000"/>
          <w:sz w:val="32"/>
          <w:szCs w:val="32"/>
          <w:highlight w:val="none"/>
          <w:lang w:val="en-US" w:eastAsia="zh-CN"/>
        </w:rPr>
        <w:t>绿色低碳循环发展的经济体系初步形成。</w:t>
      </w:r>
      <w:r>
        <w:rPr>
          <w:rFonts w:hint="eastAsia" w:ascii="仿宋_GB2312" w:hAnsi="仿宋_GB2312" w:eastAsia="仿宋_GB2312" w:cs="仿宋_GB2312"/>
          <w:b/>
          <w:bCs/>
          <w:color w:val="000000"/>
          <w:sz w:val="32"/>
          <w:szCs w:val="32"/>
          <w:highlight w:val="none"/>
          <w:lang w:val="en-US" w:eastAsia="zh-CN"/>
        </w:rPr>
        <w:t>四是坚持以开放发展为先导，全面激发振兴发展新活力。</w:t>
      </w:r>
      <w:r>
        <w:rPr>
          <w:rFonts w:hint="eastAsia" w:ascii="仿宋_GB2312" w:hAnsi="仿宋_GB2312" w:eastAsia="仿宋_GB2312" w:cs="仿宋_GB2312"/>
          <w:b w:val="0"/>
          <w:bCs w:val="0"/>
          <w:color w:val="000000"/>
          <w:sz w:val="32"/>
          <w:szCs w:val="32"/>
          <w:highlight w:val="none"/>
          <w:lang w:val="en-US" w:eastAsia="zh-CN"/>
        </w:rPr>
        <w:t>营商环境全面优化，各领域改革成效明显，有效市场和有为政府更好结合，对俄、对韩、对日等进出口贸易取得新突破，开放型经济综合实力明显增强。</w:t>
      </w:r>
      <w:r>
        <w:rPr>
          <w:rFonts w:hint="eastAsia" w:ascii="仿宋_GB2312" w:hAnsi="仿宋_GB2312" w:eastAsia="仿宋_GB2312" w:cs="仿宋_GB2312"/>
          <w:b/>
          <w:bCs/>
          <w:color w:val="000000"/>
          <w:sz w:val="32"/>
          <w:szCs w:val="32"/>
          <w:highlight w:val="none"/>
          <w:lang w:val="en-US" w:eastAsia="zh-CN"/>
        </w:rPr>
        <w:t>五是坚持以共享发展为目标，全面增进居民群众新福祉。</w:t>
      </w:r>
      <w:r>
        <w:rPr>
          <w:rFonts w:hint="eastAsia" w:ascii="仿宋_GB2312" w:hAnsi="仿宋_GB2312" w:eastAsia="仿宋_GB2312" w:cs="仿宋_GB2312"/>
          <w:b w:val="0"/>
          <w:bCs w:val="0"/>
          <w:color w:val="000000"/>
          <w:sz w:val="32"/>
          <w:szCs w:val="32"/>
          <w:highlight w:val="none"/>
          <w:lang w:val="en-US" w:eastAsia="zh-CN"/>
        </w:rPr>
        <w:t>政府公信力、执行力、创造力不断增强，就业、教育、文化、医疗、社会保障等基本公共服务体系更加健全，社会治理体系日趋完善，发展安全保障更加有力，居民生活品质得到明显提升，向共同富裕目标迈进。</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黑体" w:hAnsi="黑体" w:eastAsia="黑体" w:cs="黑体"/>
          <w:color w:val="000000"/>
          <w:sz w:val="32"/>
          <w:szCs w:val="32"/>
          <w:highlight w:val="none"/>
          <w:lang w:val="en-US" w:eastAsia="zh-CN"/>
        </w:rPr>
      </w:pPr>
      <w:r>
        <w:rPr>
          <w:rFonts w:hint="eastAsia" w:ascii="黑体" w:hAnsi="黑体" w:eastAsia="黑体" w:cs="黑体"/>
          <w:color w:val="000000"/>
          <w:sz w:val="32"/>
          <w:szCs w:val="32"/>
          <w:highlight w:val="none"/>
          <w:lang w:val="en-US" w:eastAsia="zh-CN"/>
        </w:rPr>
        <w:t>三、2022年工作安排</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default"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2022年是新一届政府承前启后、继往开来的起步之年，我将深入贯彻市委、市政府和区委工作部署，坚持稳字当头、稳中求进推动经济发展，继续做好“六稳”“六保”工作，以实干的精神、苦干的作风、巧干的智慧，全力推动西安区晋位争先、振兴发展。</w:t>
      </w:r>
      <w:r>
        <w:rPr>
          <w:rFonts w:hint="eastAsia" w:ascii="楷体_GB2312" w:hAnsi="楷体_GB2312" w:eastAsia="楷体_GB2312" w:cs="楷体_GB2312"/>
          <w:b/>
          <w:bCs/>
          <w:color w:val="000000"/>
          <w:sz w:val="32"/>
          <w:szCs w:val="32"/>
          <w:highlight w:val="none"/>
          <w:lang w:val="en-US" w:eastAsia="zh-CN"/>
        </w:rPr>
        <w:t>经济社会发展预期目标是：</w:t>
      </w:r>
      <w:r>
        <w:rPr>
          <w:rFonts w:hint="eastAsia" w:ascii="仿宋_GB2312" w:hAnsi="仿宋_GB2312" w:eastAsia="仿宋_GB2312" w:cs="仿宋_GB2312"/>
          <w:color w:val="000000"/>
          <w:sz w:val="32"/>
          <w:szCs w:val="32"/>
          <w:highlight w:val="none"/>
          <w:lang w:val="en-US" w:eastAsia="zh-CN"/>
        </w:rPr>
        <w:t>力争地区生产总值增长5.5%左右，规上工业增加值增长6%，固定资产投资增长6%，社会消费品零售总额增长7%，一般公共预算收入增长高于地区生产总值增长。为实现上述目标，重点抓好七方面工作。</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3"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楷体_GB2312" w:hAnsi="楷体_GB2312" w:eastAsia="楷体_GB2312" w:cs="楷体_GB2312"/>
          <w:b/>
          <w:bCs/>
          <w:color w:val="000000"/>
          <w:sz w:val="32"/>
          <w:szCs w:val="32"/>
          <w:highlight w:val="none"/>
          <w:lang w:val="en-US" w:eastAsia="zh-CN"/>
        </w:rPr>
        <w:t>（一）聚力夯基蓄势、厚积薄发，在经济建设上展现新作为。</w:t>
      </w:r>
      <w:r>
        <w:rPr>
          <w:rFonts w:hint="eastAsia" w:ascii="仿宋_GB2312" w:hAnsi="仿宋_GB2312" w:eastAsia="仿宋_GB2312" w:cs="仿宋_GB2312"/>
          <w:color w:val="000000"/>
          <w:sz w:val="32"/>
          <w:szCs w:val="32"/>
          <w:highlight w:val="none"/>
          <w:lang w:val="en-US" w:eastAsia="zh-CN"/>
        </w:rPr>
        <w:t>启动实施“11531”目标攻坚战，加快培育新增量、拓展新税源、厚植新优势，打造区域经济的质量高地。</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3"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——发起项目建设攻势。</w:t>
      </w:r>
      <w:r>
        <w:rPr>
          <w:rFonts w:hint="eastAsia" w:ascii="仿宋_GB2312" w:hAnsi="仿宋_GB2312" w:eastAsia="仿宋_GB2312" w:cs="仿宋_GB2312"/>
          <w:color w:val="000000"/>
          <w:sz w:val="32"/>
          <w:szCs w:val="32"/>
          <w:highlight w:val="none"/>
          <w:lang w:val="en-US" w:eastAsia="zh-CN"/>
        </w:rPr>
        <w:t>开展产业项目突破年行动，聚焦项目建设“冬季会战”和“百大项目”攻坚，重点推进一批投资高、体量大、效益好的大项目好项目，力争纳入省市“百大项目”25个，当年完成投资18亿元以上。聚焦《东北全面振兴“十四五”实施方案》，高质量谋划项目100个，争取落地政策性项目30个，到位各类资金突破5亿元。聚焦项目“四率”，树牢“四员”意识，强化全过程跟踪对接、全方位帮办服务，确保全年开复工500万元以上项目100个，竣工项目60个以上。</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3"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——发起开放招商攻势。</w:t>
      </w:r>
      <w:r>
        <w:rPr>
          <w:rFonts w:hint="eastAsia" w:ascii="仿宋_GB2312" w:hAnsi="仿宋_GB2312" w:eastAsia="仿宋_GB2312" w:cs="仿宋_GB2312"/>
          <w:color w:val="000000"/>
          <w:sz w:val="32"/>
          <w:szCs w:val="32"/>
          <w:highlight w:val="none"/>
          <w:lang w:val="en-US" w:eastAsia="zh-CN"/>
        </w:rPr>
        <w:t>树牢“大招商、招大商”理念，紧扣装备制造、商贸物流等10个主导产业，立足产业链延伸配套，加快引进一批补链、强链项目。紧盯大企业、大集团和上市公司发展动态，围绕企业战略调整和产业转移，精准承接一批标志性企业、引擎性项目。紧抓地块、楼宇、园区等重点载体，加强与基金公司、中介机构合作，力争落地一批基地型、龙头型项目。全年新签约落地千万元以上项目50个、亿元以上项目10个，签约总额突破30亿元。</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3"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——发起财源建设攻势。</w:t>
      </w:r>
      <w:r>
        <w:rPr>
          <w:rFonts w:hint="eastAsia" w:ascii="仿宋_GB2312" w:hAnsi="仿宋_GB2312" w:eastAsia="仿宋_GB2312" w:cs="仿宋_GB2312"/>
          <w:color w:val="000000"/>
          <w:sz w:val="32"/>
          <w:szCs w:val="32"/>
          <w:highlight w:val="none"/>
          <w:lang w:val="en-US" w:eastAsia="zh-CN"/>
        </w:rPr>
        <w:t>实施财源培植扩充行动，全面落实新的减税降费政策，建立年纳税超百万企业及高新企业培育库，有事必应、无事不扰，强化服务“养税”。鼓励镇街差异化发展特色小镇、特色楼宇，新招引总部经济15个，培育税源型企业10户，招商引资“生税”。建立重大项目和城建工程税收管控专项台账，加强房开、建安等领域欠税治理，突出重点“护税”。</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3"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楷体_GB2312" w:hAnsi="楷体_GB2312" w:eastAsia="楷体_GB2312" w:cs="楷体_GB2312"/>
          <w:b/>
          <w:bCs/>
          <w:color w:val="000000"/>
          <w:sz w:val="32"/>
          <w:szCs w:val="32"/>
          <w:highlight w:val="none"/>
          <w:lang w:val="en-US" w:eastAsia="zh-CN"/>
        </w:rPr>
        <w:t>（二）聚力优存扩增、培优壮强，在产业发展上展现新作为。</w:t>
      </w:r>
      <w:r>
        <w:rPr>
          <w:rFonts w:hint="eastAsia" w:ascii="仿宋_GB2312" w:hAnsi="仿宋_GB2312" w:eastAsia="仿宋_GB2312" w:cs="仿宋_GB2312"/>
          <w:color w:val="000000"/>
          <w:sz w:val="32"/>
          <w:szCs w:val="32"/>
          <w:highlight w:val="none"/>
          <w:lang w:val="en-US" w:eastAsia="zh-CN"/>
        </w:rPr>
        <w:t>加快构建现代产业体系，全面推行“链长制”，促进产业链提质扩量增效，打造特色鲜明的产业强区。</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3" w:firstLineChars="200"/>
        <w:textAlignment w:val="auto"/>
        <w:rPr>
          <w:rFonts w:hint="default"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——筑强工业经济支柱。</w:t>
      </w:r>
      <w:r>
        <w:rPr>
          <w:rFonts w:hint="eastAsia" w:ascii="仿宋_GB2312" w:hAnsi="仿宋_GB2312" w:eastAsia="仿宋_GB2312" w:cs="仿宋_GB2312"/>
          <w:color w:val="000000"/>
          <w:sz w:val="32"/>
          <w:szCs w:val="32"/>
          <w:highlight w:val="none"/>
          <w:lang w:val="en-US" w:eastAsia="zh-CN"/>
        </w:rPr>
        <w:t>坚持盘活存量、做优增量、提升质量并重，大力实施挖潜增效行动，实现“工业复兴”新局面。推进产业扩面提量，加快北方特品仓储等重点工业项目建设，围绕汽车零部件、生物经济、义齿加工等中下游产业链条，积极开辟新的工业产业门类，力争全年落地开工项目15个以上，壮大工业经济底盘。推进园区扩容提质，完善富通配套产业园功能环境，推动韩国佳人、</w:t>
      </w:r>
      <w:r>
        <w:rPr>
          <w:rFonts w:hint="eastAsia" w:ascii="Times New Roman" w:hAnsi="Times New Roman" w:eastAsia="仿宋_GB2312" w:cs="Times New Roman"/>
          <w:b w:val="0"/>
          <w:bCs w:val="0"/>
          <w:sz w:val="32"/>
          <w:szCs w:val="32"/>
          <w:highlight w:val="none"/>
          <w:lang w:val="en-US" w:eastAsia="zh-CN"/>
        </w:rPr>
        <w:t>允祯服装、红凯博等项目入驻，建成以富通空调为引领的“十亿级”产业园区；依托海南民族工业产业园，加快“腾笼换凤”，确保金水园扩建项目竣工投产，推进北纯集团总部建设实质突破；坚持在更大范围整合土地资源，加速打造</w:t>
      </w:r>
      <w:r>
        <w:rPr>
          <w:rFonts w:hint="eastAsia" w:ascii="仿宋_GB2312" w:hAnsi="仿宋_GB2312" w:eastAsia="仿宋_GB2312" w:cs="仿宋_GB2312"/>
          <w:color w:val="000000"/>
          <w:sz w:val="32"/>
          <w:szCs w:val="32"/>
          <w:highlight w:val="none"/>
          <w:lang w:val="en-US" w:eastAsia="zh-CN"/>
        </w:rPr>
        <w:t>北方装备配套产业园、卡路中小企业园和温春产业园。推进企业扩能提效，重点推动北纯杂粮、新翔石油等企业技改上新、增产扩能，康泰生物、北药科技等扩大研发、推广应用，江蓉纺织、金禾米业等延长链条、提质增效，着力做好金禾米业、喜东北等临规企业培育，全年净增规上工业企业2户。</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3" w:firstLineChars="200"/>
        <w:textAlignment w:val="auto"/>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——厚植现代服务业优势。</w:t>
      </w:r>
      <w:r>
        <w:rPr>
          <w:rFonts w:hint="eastAsia" w:ascii="仿宋_GB2312" w:hAnsi="仿宋_GB2312" w:eastAsia="仿宋_GB2312" w:cs="仿宋_GB2312"/>
          <w:b w:val="0"/>
          <w:bCs w:val="0"/>
          <w:color w:val="000000"/>
          <w:sz w:val="32"/>
          <w:szCs w:val="32"/>
          <w:highlight w:val="none"/>
          <w:lang w:val="en-US" w:eastAsia="zh-CN"/>
        </w:rPr>
        <w:t>坚持生产性服务业与生活性服务业协同并进，加快建设城市商贸新中心。顺应市场发展趋势，全面拉开“一轴三圈”发展框架，围绕繁荣商圈、提档商街、优化业态，重点推进西三影视综合体、宴会艺术中心、</w:t>
      </w:r>
      <w:r>
        <w:rPr>
          <w:rFonts w:hint="eastAsia" w:ascii="仿宋_GB2312" w:hAnsi="仿宋_GB2312" w:eastAsia="仿宋_GB2312" w:cs="仿宋_GB2312"/>
          <w:b w:val="0"/>
          <w:bCs w:val="0"/>
          <w:color w:val="000000"/>
          <w:sz w:val="32"/>
          <w:szCs w:val="32"/>
          <w:highlight w:val="none"/>
          <w:rtl w:val="0"/>
          <w:lang w:val="en-US" w:eastAsia="zh-CN"/>
        </w:rPr>
        <w:t>麗枫酒店</w:t>
      </w:r>
      <w:r>
        <w:rPr>
          <w:rFonts w:hint="eastAsia" w:ascii="仿宋_GB2312" w:hAnsi="仿宋_GB2312" w:eastAsia="仿宋_GB2312" w:cs="仿宋_GB2312"/>
          <w:b w:val="0"/>
          <w:bCs w:val="0"/>
          <w:color w:val="000000"/>
          <w:sz w:val="32"/>
          <w:szCs w:val="32"/>
          <w:highlight w:val="none"/>
          <w:lang w:val="en-US" w:eastAsia="zh-CN"/>
        </w:rPr>
        <w:t>等项目建成运营，横店影视城、欧派家居综合体、地利农贸市场等项目落地开工，让商贸核心区的优势更优。顺应产业发展导向，进一步扶强丰达化工、百利达等外贸企业，做优建材、农机等专业市场，做大公铁联运、粮食集散等物流企业，做好金融服务、健康养老等项目谋划，努力为产业向中高端发展提供支撑。顺应群众消费需求，推出年货节、促销月等消费活动，培育养老、家政等连锁品牌，策划社区新零售、音乐坊等新兴业态，力争全年新增市场主体3500户、限上企业4户，打造全市高品质消费集聚地、首选地。</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3" w:firstLineChars="200"/>
        <w:textAlignment w:val="auto"/>
        <w:rPr>
          <w:rFonts w:hint="default"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——放大旅游品牌效应。</w:t>
      </w:r>
      <w:r>
        <w:rPr>
          <w:rFonts w:hint="eastAsia" w:ascii="仿宋_GB2312" w:hAnsi="仿宋_GB2312" w:eastAsia="仿宋_GB2312" w:cs="仿宋_GB2312"/>
          <w:color w:val="000000"/>
          <w:sz w:val="32"/>
          <w:szCs w:val="32"/>
          <w:highlight w:val="none"/>
          <w:lang w:val="en-US" w:eastAsia="zh-CN"/>
        </w:rPr>
        <w:t>树牢“大旅游、大产业”思维，优化完善西安区旅游产业发展规划，加速构建“一城、两带、百点”全域旅游发展新格局。进一步完善提升朝鲜族文旅商贸园区、解放路百年老街，推动各小微展馆联动发展，着力培育以文化演艺、特色餐饮为主的“夜经济”，推进朝鲜民族风情街争创全省“十大步行街”，持续活跃“一城”。全面发力“后旅发时代”，围绕红色、文化、生态、冰雪，进一步拓展温春旅游空间，开工建设峰悦水上乐园、峰悦综合运动中心、小火车环线扩建、民族演艺广场等一批景区提升型项目，谋划推进红星景区、沙虎农文旅产业园、城郊公园、萨尔虎古城等一批功能配套型项目，加快突破冰雪小镇、主题运动小镇、康养综合体等一批战略合作型项目，策划提升梨花节、芍药节、采摘节、大米节等一批区域特色型活动，持续建好“两带”。实施旅游服务质量提升行动，大力营造安心、舒心、放心的旅游市场环境，加快引进有实力、有经验的管理团队参与景区景点经营管理，持续优化“百点”。力争年接待游客量突破300万人次，旅游收入增长180%以上。</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3"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——加快数字经济发展。</w:t>
      </w:r>
      <w:r>
        <w:rPr>
          <w:rFonts w:hint="eastAsia" w:ascii="仿宋_GB2312" w:hAnsi="仿宋_GB2312" w:eastAsia="仿宋_GB2312" w:cs="仿宋_GB2312"/>
          <w:color w:val="000000"/>
          <w:sz w:val="32"/>
          <w:szCs w:val="32"/>
          <w:highlight w:val="none"/>
          <w:lang w:val="en-US" w:eastAsia="zh-CN"/>
        </w:rPr>
        <w:t>编制“数字西安区”行动计划，加快大数据、5G商用等领域产业布局，打造数字经济新引擎。加快数字化升级，推动规上工业企业技术改造全覆盖，扶持富通空调、链条厂争创省级数字化生产车间和智能工厂，新增“上云上平台”企业5户、省级中小企业数字化示范标杆企业1户；鼓励传统服务业向智慧医疗、数字文旅等新兴领域转型，支持万达、大润发、新玛特等骨干企业开展数字化新零售示范，打造智慧商场、绿色商场。加快网络化发展，依托新经济产业园、新经济电商产业园，围绕有声书、语音呼叫、直播电商、智慧安防四大产业形态，引进领军型、平台型项目10个；紧盯新媒体电商发展趋势，建成直播电商共享基地3个、培育骨干企业10户、直播带货销售额突破2亿元。加快智能化延伸，坚持以大数据治理为核心驱动，拓展“全国数字乡村示范区”建设内容，在卫生防疫、安全生产、市场监管、公安消防等领域培育数字化社会治理应用场景，提升社会管理、公共服务、应急处置的数字化智能化水平。</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3"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楷体_GB2312" w:hAnsi="楷体_GB2312" w:eastAsia="楷体_GB2312" w:cs="楷体_GB2312"/>
          <w:b/>
          <w:bCs/>
          <w:color w:val="000000"/>
          <w:sz w:val="32"/>
          <w:szCs w:val="32"/>
          <w:highlight w:val="none"/>
          <w:lang w:val="en-US" w:eastAsia="zh-CN"/>
        </w:rPr>
        <w:t>（三）聚力革故鼎新、动能转换，在改革创新上展现新作为。</w:t>
      </w:r>
      <w:r>
        <w:rPr>
          <w:rFonts w:hint="eastAsia" w:ascii="仿宋_GB2312" w:hAnsi="仿宋_GB2312" w:eastAsia="仿宋_GB2312" w:cs="仿宋_GB2312"/>
          <w:color w:val="000000"/>
          <w:sz w:val="32"/>
          <w:szCs w:val="32"/>
          <w:highlight w:val="none"/>
          <w:lang w:val="en-US" w:eastAsia="zh-CN"/>
        </w:rPr>
        <w:t>实施创新首位战略，持续深化改革、优化环境，打造活力迸发的发展热土。</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3" w:firstLineChars="200"/>
        <w:textAlignment w:val="auto"/>
        <w:rPr>
          <w:rFonts w:hint="eastAsia" w:ascii="仿宋_GB2312" w:hAnsi="仿宋_GB2312" w:eastAsia="仿宋_GB2312" w:cs="仿宋_GB2312"/>
          <w:color w:val="000000"/>
          <w:sz w:val="32"/>
          <w:szCs w:val="32"/>
          <w:highlight w:val="none"/>
          <w:shd w:val="clear" w:color="auto" w:fill="FFFFFF"/>
          <w:lang w:eastAsia="zh-CN"/>
        </w:rPr>
      </w:pPr>
      <w:r>
        <w:rPr>
          <w:rFonts w:hint="eastAsia" w:ascii="仿宋_GB2312" w:hAnsi="仿宋_GB2312" w:eastAsia="仿宋_GB2312" w:cs="仿宋_GB2312"/>
          <w:b/>
          <w:bCs/>
          <w:color w:val="000000"/>
          <w:sz w:val="32"/>
          <w:szCs w:val="32"/>
          <w:highlight w:val="none"/>
          <w:lang w:val="en-US" w:eastAsia="zh-CN"/>
        </w:rPr>
        <w:t>——向改革要活力。</w:t>
      </w:r>
      <w:r>
        <w:rPr>
          <w:rFonts w:hint="eastAsia" w:ascii="仿宋_GB2312" w:hAnsi="仿宋_GB2312" w:eastAsia="仿宋_GB2312" w:cs="仿宋_GB2312"/>
          <w:color w:val="000000"/>
          <w:sz w:val="32"/>
          <w:szCs w:val="32"/>
          <w:highlight w:val="none"/>
          <w:lang w:val="en-US" w:eastAsia="zh-CN"/>
        </w:rPr>
        <w:t>围绕构建更有效市场、打造更有为政府，持续深化“放管服”改革，继续推动高频政务服务事项向基层延伸，对跨部门审批业务流程再优化、环节再精简、时限再压缩，推行“一址多照”“一照多址”和自主申报承诺制，加速“证照分离”改革全覆盖。做好农村</w:t>
      </w:r>
      <w:r>
        <w:rPr>
          <w:rFonts w:hint="eastAsia" w:ascii="仿宋_GB2312" w:hAnsi="仿宋_GB2312" w:eastAsia="仿宋_GB2312" w:cs="仿宋_GB2312"/>
          <w:color w:val="000000"/>
          <w:sz w:val="32"/>
          <w:szCs w:val="32"/>
          <w:highlight w:val="none"/>
          <w:shd w:val="clear" w:color="auto" w:fill="FFFFFF"/>
        </w:rPr>
        <w:t>改革，健全土地经营权流转体系</w:t>
      </w:r>
      <w:r>
        <w:rPr>
          <w:rFonts w:hint="eastAsia" w:ascii="仿宋_GB2312" w:hAnsi="仿宋_GB2312" w:eastAsia="仿宋_GB2312" w:cs="仿宋_GB2312"/>
          <w:color w:val="000000"/>
          <w:sz w:val="32"/>
          <w:szCs w:val="32"/>
          <w:highlight w:val="none"/>
          <w:shd w:val="clear" w:color="auto" w:fill="FFFFFF"/>
          <w:lang w:eastAsia="zh-CN"/>
        </w:rPr>
        <w:t>，加快</w:t>
      </w:r>
      <w:r>
        <w:rPr>
          <w:rFonts w:hint="eastAsia" w:ascii="仿宋_GB2312" w:hAnsi="仿宋_GB2312" w:eastAsia="仿宋_GB2312" w:cs="仿宋_GB2312"/>
          <w:color w:val="000000"/>
          <w:sz w:val="32"/>
          <w:szCs w:val="32"/>
          <w:highlight w:val="none"/>
          <w:shd w:val="clear" w:color="auto" w:fill="FFFFFF"/>
        </w:rPr>
        <w:t>土地确权和产权制度改革成果应用转化</w:t>
      </w:r>
      <w:r>
        <w:rPr>
          <w:rFonts w:hint="eastAsia" w:ascii="仿宋_GB2312" w:hAnsi="仿宋_GB2312" w:eastAsia="仿宋_GB2312" w:cs="仿宋_GB2312"/>
          <w:color w:val="000000"/>
          <w:sz w:val="32"/>
          <w:szCs w:val="32"/>
          <w:highlight w:val="none"/>
          <w:shd w:val="clear" w:color="auto" w:fill="FFFFFF"/>
          <w:lang w:eastAsia="zh-CN"/>
        </w:rPr>
        <w:t>，稳妥推进农村宅基地制度改革试点，在农村集体经营性建设用地入市上先行先试。深化预算制度改革，完成预算管理一体化建设。</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3"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——向创新要动力。</w:t>
      </w:r>
      <w:r>
        <w:rPr>
          <w:rFonts w:hint="eastAsia" w:ascii="仿宋_GB2312" w:hAnsi="仿宋_GB2312" w:eastAsia="仿宋_GB2312" w:cs="仿宋_GB2312"/>
          <w:color w:val="000000"/>
          <w:sz w:val="32"/>
          <w:szCs w:val="32"/>
          <w:highlight w:val="none"/>
          <w:lang w:val="en-US" w:eastAsia="zh-CN"/>
        </w:rPr>
        <w:t>深入实施创新驱动发展战略，大力扶持现有高新技术企业裂变升级，加快招引培育一批科技水平高、创新能力强的“链主”企业，全年新建专家工作站、研发机构3个，打造企业领军型科研团队2个，推动科技型中小企业突破25户、高新技术企业达到23家。做好孵化器、众创空间培育，推动</w:t>
      </w:r>
      <w:r>
        <w:rPr>
          <w:rFonts w:hint="eastAsia" w:ascii="仿宋_GB2312" w:hAnsi="仿宋_GB2312" w:eastAsia="仿宋_GB2312" w:cs="仿宋_GB2312"/>
          <w:i w:val="0"/>
          <w:iCs w:val="0"/>
          <w:color w:val="auto"/>
          <w:sz w:val="32"/>
          <w:szCs w:val="32"/>
          <w:highlight w:val="none"/>
          <w:u w:val="none"/>
          <w:lang w:val="en-US" w:eastAsia="zh-CN"/>
        </w:rPr>
        <w:t>天麒、仁和堂</w:t>
      </w:r>
      <w:r>
        <w:rPr>
          <w:rFonts w:hint="eastAsia" w:ascii="仿宋_GB2312" w:hAnsi="仿宋_GB2312" w:eastAsia="仿宋_GB2312" w:cs="仿宋_GB2312"/>
          <w:color w:val="000000"/>
          <w:sz w:val="32"/>
          <w:szCs w:val="32"/>
          <w:highlight w:val="none"/>
          <w:lang w:val="en-US" w:eastAsia="zh-CN"/>
        </w:rPr>
        <w:t>争创省级科技孵化器。依托省农科院、东北农大等院校机构，深化产学研合作，力争全年转化科技成果10项以上、技术合同成交额突破亿元。发挥台创园示范效应，落地转化台湾新品种、新技术6个。组建人才发展联盟和高校合作联盟，大力引进高学历高素质高技能人才，着重培养领军型人才，实现借智发展。</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3"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——向环境要潜力。</w:t>
      </w:r>
      <w:r>
        <w:rPr>
          <w:rFonts w:hint="eastAsia" w:ascii="仿宋_GB2312" w:hAnsi="仿宋_GB2312" w:eastAsia="仿宋_GB2312" w:cs="仿宋_GB2312"/>
          <w:color w:val="000000"/>
          <w:sz w:val="32"/>
          <w:szCs w:val="32"/>
          <w:highlight w:val="none"/>
          <w:lang w:val="en-US" w:eastAsia="zh-CN"/>
        </w:rPr>
        <w:t>在营商环境上追求100%的极致。打造更便捷服务，新推出10个“一件事”集成套餐服务，推动10个“无差别受理”向基层延伸，加快建设“十分钟政务服务圈”。打造更公平服务，注重包容审慎监管，落实市场“非禁即入”负面清单制度，全面清理各类显性和隐性壁垒，坚决将“办事不求人”落到实处。打造更温情服务，紧盯“五类项目”，关注“六类企业”，持续深化“千人进万企”“三送两帮”“六必访”和政银企对接，探索设立产业发展扶持资金，真正帮助企业出实招、办实事、解实困，着力构建“亲而有度、清而有为”新型政商关系，培育企业茁壮成长的优良土壤。</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3"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楷体_GB2312" w:hAnsi="楷体_GB2312" w:eastAsia="楷体_GB2312" w:cs="楷体_GB2312"/>
          <w:b/>
          <w:bCs/>
          <w:color w:val="000000"/>
          <w:sz w:val="32"/>
          <w:szCs w:val="32"/>
          <w:highlight w:val="none"/>
          <w:lang w:val="en-US" w:eastAsia="zh-CN"/>
        </w:rPr>
        <w:t>（四）聚力强优补短、兴业富农，在乡村振兴上展现新作为。</w:t>
      </w:r>
      <w:r>
        <w:rPr>
          <w:rFonts w:hint="eastAsia" w:ascii="仿宋_GB2312" w:hAnsi="仿宋_GB2312" w:eastAsia="仿宋_GB2312" w:cs="仿宋_GB2312"/>
          <w:color w:val="000000"/>
          <w:sz w:val="32"/>
          <w:szCs w:val="32"/>
          <w:highlight w:val="none"/>
          <w:lang w:val="en-US" w:eastAsia="zh-CN"/>
        </w:rPr>
        <w:t>锚定“强农、美村、富民”目标，全面实施农业农村现代化建设行动，打造示范引领的现代乡村。</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3"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——促进农业高质高效。</w:t>
      </w:r>
      <w:r>
        <w:rPr>
          <w:rFonts w:hint="eastAsia" w:ascii="仿宋_GB2312" w:hAnsi="仿宋_GB2312" w:eastAsia="仿宋_GB2312" w:cs="仿宋_GB2312"/>
          <w:color w:val="auto"/>
          <w:spacing w:val="0"/>
          <w:sz w:val="32"/>
          <w:szCs w:val="32"/>
          <w:highlight w:val="none"/>
          <w:lang w:val="en-US" w:eastAsia="zh-CN"/>
        </w:rPr>
        <w:t>全面实施</w:t>
      </w:r>
      <w:r>
        <w:rPr>
          <w:rFonts w:hint="eastAsia" w:ascii="仿宋_GB2312" w:hAnsi="仿宋_GB2312" w:eastAsia="仿宋_GB2312" w:cs="仿宋_GB2312"/>
          <w:color w:val="auto"/>
          <w:spacing w:val="0"/>
          <w:sz w:val="32"/>
          <w:szCs w:val="32"/>
          <w:highlight w:val="none"/>
          <w:lang w:eastAsia="zh-CN"/>
        </w:rPr>
        <w:t>田长制，</w:t>
      </w:r>
      <w:r>
        <w:rPr>
          <w:rFonts w:hint="eastAsia" w:ascii="仿宋_GB2312" w:hAnsi="仿宋_GB2312" w:eastAsia="仿宋_GB2312" w:cs="仿宋_GB2312"/>
          <w:color w:val="000000"/>
          <w:sz w:val="32"/>
          <w:szCs w:val="32"/>
          <w:highlight w:val="none"/>
          <w:lang w:val="en-US" w:eastAsia="zh-CN"/>
        </w:rPr>
        <w:t>坚决遏制耕地“非农化”，防止“非粮化”，粮食播种面积稳定在17.8万亩。以拉长产业链为根本，新增果蔬种植1万亩、中草药</w:t>
      </w:r>
      <w:r>
        <w:rPr>
          <w:rFonts w:hint="eastAsia" w:ascii="仿宋_GB2312" w:hAnsi="仿宋_GB2312" w:eastAsia="仿宋_GB2312" w:cs="仿宋_GB2312"/>
          <w:color w:val="auto"/>
          <w:sz w:val="32"/>
          <w:szCs w:val="32"/>
          <w:highlight w:val="none"/>
          <w:u w:val="none"/>
          <w:lang w:val="en-US" w:eastAsia="zh-CN"/>
        </w:rPr>
        <w:t>1000</w:t>
      </w:r>
      <w:r>
        <w:rPr>
          <w:rFonts w:hint="eastAsia" w:ascii="仿宋_GB2312" w:hAnsi="仿宋_GB2312" w:eastAsia="仿宋_GB2312" w:cs="仿宋_GB2312"/>
          <w:color w:val="000000"/>
          <w:sz w:val="32"/>
          <w:szCs w:val="32"/>
          <w:highlight w:val="none"/>
          <w:lang w:val="en-US" w:eastAsia="zh-CN"/>
        </w:rPr>
        <w:t>亩；提升红山猪、鹌鹑等高附加值“精特”畜产品供给总量，畜牧业产值增加5%；围绕“两头两尾”，开工建设红旗鲜果加工产业园、石头沟红薯种植加工基地等项目10个，农产品加工转化率提高到60%</w:t>
      </w:r>
      <w:r>
        <w:rPr>
          <w:rFonts w:hint="eastAsia" w:ascii="仿宋_GB2312" w:hAnsi="仿宋_GB2312" w:eastAsia="仿宋_GB2312" w:cs="仿宋_GB2312"/>
          <w:color w:val="auto"/>
          <w:sz w:val="32"/>
          <w:szCs w:val="32"/>
          <w:highlight w:val="none"/>
          <w:u w:val="none"/>
          <w:lang w:val="en-US" w:eastAsia="zh-CN"/>
        </w:rPr>
        <w:t>以上</w:t>
      </w:r>
      <w:r>
        <w:rPr>
          <w:rFonts w:hint="eastAsia" w:ascii="仿宋_GB2312" w:hAnsi="仿宋_GB2312" w:eastAsia="仿宋_GB2312" w:cs="仿宋_GB2312"/>
          <w:color w:val="000000"/>
          <w:sz w:val="32"/>
          <w:szCs w:val="32"/>
          <w:highlight w:val="none"/>
          <w:lang w:val="en-US" w:eastAsia="zh-CN"/>
        </w:rPr>
        <w:t>。以做大品牌链为带动，加快叫响“牡丹江大米”“南拉古大米”等区域品牌，新增“两品一标”农产品2个，培育省级农业龙头企业1家，打造红旗稻田鸭、沙虎富硒米等网红品牌5个。以提升价值链为重点，放大城市近郊优势，规划打造牡海公路景观农业、G11国道休闲农业2条现代化农业示范带，配套招引休闲度假、旅游观光、养生养老等一批“农业+”项目，拓展农业新形态。</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3"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——促进乡村宜居宜业。</w:t>
      </w:r>
      <w:r>
        <w:rPr>
          <w:rFonts w:hint="eastAsia" w:ascii="仿宋_GB2312" w:hAnsi="仿宋_GB2312" w:eastAsia="仿宋_GB2312" w:cs="仿宋_GB2312"/>
          <w:color w:val="000000"/>
          <w:sz w:val="32"/>
          <w:szCs w:val="32"/>
          <w:highlight w:val="none"/>
          <w:lang w:val="en-US" w:eastAsia="zh-CN"/>
        </w:rPr>
        <w:t>强化规划的战略引领和刚性控制，完成《西安区乡村振兴十年发展规划》和乡镇村庄规划编制，提高乡村建设水平。实施人居环境提升行动，完成丹江湾二期收尾工程，改造农村危房15户，新增村屯绿化20亩，农村卫生厕所普及率提高到60%以上，村庄清洁率达到95%以上，打造垃圾治理示范村4个、龙江民居样板村1个、乡村振兴示范村1个。实施基础设施提升行动，推进水电路气网物流等基础设施往村覆盖、向户延伸，建成2个乡镇垃圾中转站，硬化改造农村道路15公里，完成3个平交路口安全防护，力争31个村实现快递村村通、24小时供水村屯达到50%以上。实施乡风文明提升行动，新建5个新时代文明实践站，在4个村推广实施“乡村治理积分制”，培育文明乡风、淳朴民风、良好家风。</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3"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——促进农民富裕富足。</w:t>
      </w:r>
      <w:r>
        <w:rPr>
          <w:rFonts w:hint="eastAsia" w:ascii="仿宋_GB2312" w:hAnsi="仿宋_GB2312" w:eastAsia="仿宋_GB2312" w:cs="仿宋_GB2312"/>
          <w:snapToGrid w:val="0"/>
          <w:kern w:val="0"/>
          <w:sz w:val="32"/>
          <w:szCs w:val="32"/>
          <w:highlight w:val="none"/>
          <w:lang w:val="en-US" w:eastAsia="zh-CN"/>
        </w:rPr>
        <w:t>接续推进巩固拓展脱贫攻坚成果同乡村振兴有效衔接，</w:t>
      </w:r>
      <w:r>
        <w:rPr>
          <w:rFonts w:hint="eastAsia" w:ascii="仿宋_GB2312" w:hAnsi="仿宋_GB2312" w:eastAsia="仿宋_GB2312" w:cs="仿宋_GB2312"/>
          <w:snapToGrid w:val="0"/>
          <w:kern w:val="0"/>
          <w:sz w:val="32"/>
          <w:szCs w:val="32"/>
          <w:highlight w:val="none"/>
        </w:rPr>
        <w:t>健全防止返贫动态监测预警机制，</w:t>
      </w:r>
      <w:r>
        <w:rPr>
          <w:rFonts w:hint="eastAsia" w:ascii="仿宋_GB2312" w:hAnsi="仿宋_GB2312" w:eastAsia="仿宋_GB2312" w:cs="仿宋_GB2312"/>
          <w:snapToGrid w:val="0"/>
          <w:kern w:val="0"/>
          <w:sz w:val="32"/>
          <w:szCs w:val="32"/>
          <w:highlight w:val="none"/>
          <w:lang w:val="en-US" w:eastAsia="zh-CN"/>
        </w:rPr>
        <w:t>分层分类帮扶农村低收入人口，</w:t>
      </w:r>
      <w:r>
        <w:rPr>
          <w:rFonts w:hint="eastAsia" w:ascii="仿宋_GB2312" w:hAnsi="仿宋_GB2312" w:eastAsia="仿宋_GB2312" w:cs="仿宋_GB2312"/>
          <w:snapToGrid w:val="0"/>
          <w:kern w:val="0"/>
          <w:sz w:val="32"/>
          <w:szCs w:val="32"/>
          <w:highlight w:val="none"/>
        </w:rPr>
        <w:t>杜绝返贫和新致贫现象发生。</w:t>
      </w:r>
      <w:r>
        <w:rPr>
          <w:rFonts w:hint="eastAsia" w:ascii="仿宋_GB2312" w:hAnsi="仿宋_GB2312" w:eastAsia="仿宋_GB2312" w:cs="仿宋_GB2312"/>
          <w:snapToGrid w:val="0"/>
          <w:kern w:val="0"/>
          <w:sz w:val="32"/>
          <w:szCs w:val="32"/>
          <w:highlight w:val="none"/>
          <w:lang w:eastAsia="zh-CN"/>
        </w:rPr>
        <w:t>提升镇村</w:t>
      </w:r>
      <w:r>
        <w:rPr>
          <w:rFonts w:hint="eastAsia" w:ascii="仿宋_GB2312" w:hAnsi="仿宋_GB2312" w:eastAsia="仿宋_GB2312" w:cs="仿宋_GB2312"/>
          <w:snapToGrid w:val="0"/>
          <w:kern w:val="0"/>
          <w:sz w:val="32"/>
          <w:szCs w:val="32"/>
          <w:highlight w:val="none"/>
          <w:lang w:val="en-US" w:eastAsia="zh-CN"/>
        </w:rPr>
        <w:t>发展活力</w:t>
      </w:r>
      <w:r>
        <w:rPr>
          <w:rFonts w:hint="eastAsia" w:ascii="仿宋_GB2312" w:hAnsi="仿宋_GB2312" w:eastAsia="仿宋_GB2312" w:cs="仿宋_GB2312"/>
          <w:snapToGrid w:val="0"/>
          <w:kern w:val="0"/>
          <w:sz w:val="32"/>
          <w:szCs w:val="32"/>
          <w:highlight w:val="none"/>
          <w:lang w:eastAsia="zh-CN"/>
        </w:rPr>
        <w:t>，高效完成</w:t>
      </w:r>
      <w:r>
        <w:rPr>
          <w:rFonts w:hint="eastAsia" w:ascii="仿宋_GB2312" w:hAnsi="仿宋_GB2312" w:eastAsia="仿宋_GB2312" w:cs="仿宋_GB2312"/>
          <w:snapToGrid w:val="0"/>
          <w:kern w:val="0"/>
          <w:sz w:val="32"/>
          <w:szCs w:val="32"/>
          <w:highlight w:val="none"/>
          <w:lang w:val="en-US" w:eastAsia="zh-CN"/>
        </w:rPr>
        <w:t>农村集体“三资”管理专项整治及</w:t>
      </w:r>
      <w:r>
        <w:rPr>
          <w:rFonts w:hint="eastAsia" w:ascii="仿宋_GB2312" w:hAnsi="仿宋_GB2312" w:eastAsia="仿宋_GB2312" w:cs="仿宋_GB2312"/>
          <w:snapToGrid w:val="0"/>
          <w:kern w:val="0"/>
          <w:sz w:val="32"/>
          <w:szCs w:val="32"/>
          <w:highlight w:val="none"/>
          <w:lang w:eastAsia="zh-CN"/>
        </w:rPr>
        <w:t>“清化收”工作，推动每个村开辟1-2条增收新渠道，</w:t>
      </w:r>
      <w:r>
        <w:rPr>
          <w:rFonts w:hint="eastAsia" w:ascii="仿宋_GB2312" w:hAnsi="仿宋_GB2312" w:eastAsia="仿宋_GB2312" w:cs="仿宋_GB2312"/>
          <w:snapToGrid w:val="0"/>
          <w:kern w:val="0"/>
          <w:sz w:val="32"/>
          <w:szCs w:val="32"/>
          <w:highlight w:val="none"/>
          <w:lang w:val="en-US" w:eastAsia="zh-CN"/>
        </w:rPr>
        <w:t>集体经济收入20万元以上的村达到30%以上。实施新农人培育计划，坚持“扶起来、请回来、引进来”，全年新增职业农民、种养大户、致富带头人6户，家庭农场、示范合作社等新型农业主体2家。</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3" w:firstLineChars="200"/>
        <w:textAlignment w:val="auto"/>
        <w:rPr>
          <w:rFonts w:hint="default" w:ascii="仿宋_GB2312" w:hAnsi="仿宋_GB2312" w:eastAsia="仿宋_GB2312" w:cs="仿宋_GB2312"/>
          <w:color w:val="000000"/>
          <w:sz w:val="32"/>
          <w:szCs w:val="32"/>
          <w:highlight w:val="none"/>
          <w:lang w:val="en-US" w:eastAsia="zh-CN"/>
        </w:rPr>
      </w:pPr>
      <w:r>
        <w:rPr>
          <w:rFonts w:hint="eastAsia" w:ascii="楷体_GB2312" w:hAnsi="楷体_GB2312" w:eastAsia="楷体_GB2312" w:cs="楷体_GB2312"/>
          <w:b/>
          <w:bCs/>
          <w:color w:val="000000"/>
          <w:sz w:val="32"/>
          <w:szCs w:val="32"/>
          <w:highlight w:val="none"/>
          <w:lang w:val="en-US" w:eastAsia="zh-CN"/>
        </w:rPr>
        <w:t>（五）聚力内外兼修、建管并重，在城区建设上展现新作为。</w:t>
      </w:r>
      <w:r>
        <w:rPr>
          <w:rFonts w:hint="eastAsia" w:ascii="仿宋_GB2312" w:hAnsi="仿宋_GB2312" w:eastAsia="仿宋_GB2312" w:cs="仿宋_GB2312"/>
          <w:color w:val="000000"/>
          <w:sz w:val="32"/>
          <w:szCs w:val="32"/>
          <w:highlight w:val="none"/>
          <w:lang w:val="en-US" w:eastAsia="zh-CN"/>
        </w:rPr>
        <w:t>统筹生产、生活、生态空间，持续提升功能品质、颜值气质，打造宜居宜业的魅力之城。</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3" w:firstLineChars="200"/>
        <w:textAlignment w:val="auto"/>
        <w:rPr>
          <w:rFonts w:hint="default"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——以科学规划引领西部开发。</w:t>
      </w:r>
      <w:r>
        <w:rPr>
          <w:rFonts w:hint="eastAsia" w:ascii="仿宋_GB2312" w:hAnsi="仿宋_GB2312" w:eastAsia="仿宋_GB2312" w:cs="仿宋_GB2312"/>
          <w:color w:val="000000"/>
          <w:sz w:val="32"/>
          <w:szCs w:val="32"/>
          <w:highlight w:val="none"/>
          <w:lang w:val="en-US" w:eastAsia="zh-CN"/>
        </w:rPr>
        <w:t>依据《牡丹江国土空间总体规划》布局，科学制定城市西部开发计划，重点围绕商业、文化、康养等功能性综合体开发，加快做熟土地、做熟项目，推动城区空间由拉框架、扩规模向增内涵、优品质转变。有序把握现有区块开发节奏，完成南江官邸、锦绣明珠、大润发二期、龙城花园4个项目前期，开工建设一批；加快格林公馆、汇智御江湾、观澜国际等6个项目进度，竣工清盘一批；做好西城广场、海浪花园、滨江都市等8个项目对接，提前储备一批；统筹解决房地产去库存与居民安居问题，全年新开发面积23万平方米。</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——以经营理念提升建管水平。</w:t>
      </w:r>
      <w:r>
        <w:rPr>
          <w:rFonts w:hint="eastAsia" w:ascii="仿宋_GB2312" w:hAnsi="仿宋_GB2312" w:eastAsia="仿宋_GB2312" w:cs="仿宋_GB2312"/>
          <w:color w:val="000000"/>
          <w:sz w:val="32"/>
          <w:szCs w:val="32"/>
          <w:highlight w:val="none"/>
          <w:lang w:val="en-US" w:eastAsia="zh-CN"/>
        </w:rPr>
        <w:t>深化文明城创建，持续加强农贸市场、居民小区、背街小巷等重点部位环境整治，占道经营、私搭乱建、噪音扰民等“城市病”综合治理；启动水产小区、搬运楼等54栋楼31.4万平方米老旧小区改造，完成五金楼等3个片区259户棚改任务，着力让居民从平常生活中感受变化、分享实惠。加强物业管理制度建设，推广“党建+业委会”管理模式，对20个非物业管理住宅小区实施市场化管理。从垃圾分类、文明出行等小切口入手，提升居民文明素养。</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3"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——以更高标准保护生态环境。</w:t>
      </w:r>
      <w:r>
        <w:rPr>
          <w:rFonts w:hint="eastAsia" w:ascii="仿宋_GB2312" w:hAnsi="仿宋_GB2312" w:eastAsia="仿宋_GB2312" w:cs="仿宋_GB2312"/>
          <w:color w:val="000000"/>
          <w:sz w:val="32"/>
          <w:szCs w:val="32"/>
          <w:highlight w:val="none"/>
          <w:lang w:val="en-US" w:eastAsia="zh-CN"/>
        </w:rPr>
        <w:t>认真落实《黑龙江省“十四五”生态环境保护规划》，不折不扣完成第二轮中央环保督察反馈问题整改。打好蓝天保卫战，严控秸秆露天焚烧，严厉打击“散乱污”企业，秸秆综合利用率提高到92%以上。打好碧水保卫战，严格落实“河湖长制”，深入开展河湖“清四乱”巩固提升行动，启动北拉古、富民等4个村污水处理项目，完成温春镇（省农经学院）污水处理站建设，进一步加强西水源地沿线9个村污水治理工程运营监管，坚决守护好“城市水缸”。打好净土保卫战，扎实做好违建别墅清查整治、农村乱占耕地建房摸排整改，综合治理农村面源污染，力争农药废弃包装物回收处置率达到80%；全面落实林长制，持续加大绿化造林、退耕还林力度，打造1个省级绿化示范村，为完成“双碳”目标奠定生态基础。</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3"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楷体_GB2312" w:hAnsi="楷体_GB2312" w:eastAsia="楷体_GB2312" w:cs="楷体_GB2312"/>
          <w:b/>
          <w:bCs/>
          <w:color w:val="000000"/>
          <w:sz w:val="32"/>
          <w:szCs w:val="32"/>
          <w:highlight w:val="none"/>
          <w:lang w:val="en-US" w:eastAsia="zh-CN"/>
        </w:rPr>
        <w:t>（六）聚力以民为本、普惠共享，在民生改善上展现新作为。</w:t>
      </w:r>
      <w:r>
        <w:rPr>
          <w:rFonts w:hint="eastAsia" w:ascii="仿宋_GB2312" w:hAnsi="仿宋_GB2312" w:eastAsia="仿宋_GB2312" w:cs="仿宋_GB2312"/>
          <w:color w:val="000000"/>
          <w:sz w:val="32"/>
          <w:szCs w:val="32"/>
          <w:highlight w:val="none"/>
          <w:lang w:val="en-US" w:eastAsia="zh-CN"/>
        </w:rPr>
        <w:t>践行以人民为中心的发展思想，深入实施民生幸福工程，务实办好14件利民实事，打造重民亲民的幸福家园。</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3"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——让疫情防控更加规范有效。</w:t>
      </w:r>
      <w:r>
        <w:rPr>
          <w:rFonts w:hint="eastAsia" w:ascii="仿宋_GB2312" w:hAnsi="仿宋_GB2312" w:eastAsia="仿宋_GB2312" w:cs="仿宋_GB2312"/>
          <w:color w:val="000000"/>
          <w:sz w:val="32"/>
          <w:szCs w:val="32"/>
          <w:highlight w:val="none"/>
          <w:lang w:val="en-US" w:eastAsia="zh-CN"/>
        </w:rPr>
        <w:t>坚持以大概率思维应对小概率事件，持续强化内外同防、人物环境同防，落实落细“四早”“九早”“十个到位”等措施，坚决守住不发生本土疫情底线。紧盯重点时段、重点领域、重点人员，健全“源头查控+硬核隔离+精密智控”闭环机制，严格执行商场、养老机构、“九小场所”等重点部位、公共区域“三宝”要求，盯牢抓紧农村社区、“哨点”单位、冷链仓储等关键环节，引导居民群众自觉规范佩戴口罩、做好自我防范。进一步压实“四方责任”，始终保持指挥体系高效运转，常态化开展全要素全场景全流程演练，全面提升流调溯源、隔离转运、核酸检测、物资保障等应急处置准备能力，做到措施“零疏忽”、管控“零死角”、落实“零遗漏”，巩固来之不易的疫情防控成果。</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3" w:firstLineChars="200"/>
        <w:textAlignment w:val="auto"/>
        <w:rPr>
          <w:rFonts w:hint="eastAsia"/>
          <w:highlight w:val="none"/>
          <w:lang w:val="en-US" w:eastAsia="zh-CN"/>
        </w:rPr>
      </w:pPr>
      <w:r>
        <w:rPr>
          <w:rFonts w:hint="eastAsia" w:ascii="仿宋_GB2312" w:hAnsi="仿宋_GB2312" w:eastAsia="仿宋_GB2312" w:cs="仿宋_GB2312"/>
          <w:b/>
          <w:bCs/>
          <w:color w:val="000000"/>
          <w:sz w:val="32"/>
          <w:szCs w:val="32"/>
          <w:highlight w:val="none"/>
          <w:lang w:val="en-US" w:eastAsia="zh-CN"/>
        </w:rPr>
        <w:t>——让居民生活更加殷实富裕。</w:t>
      </w:r>
      <w:r>
        <w:rPr>
          <w:rFonts w:hint="eastAsia" w:ascii="仿宋_GB2312" w:hAnsi="仿宋_GB2312" w:eastAsia="仿宋_GB2312" w:cs="仿宋_GB2312"/>
          <w:color w:val="000000"/>
          <w:sz w:val="32"/>
          <w:szCs w:val="32"/>
          <w:highlight w:val="none"/>
          <w:lang w:val="en-US" w:eastAsia="zh-CN"/>
        </w:rPr>
        <w:t>坚持把增收富民作为民生幸福的重中之重。实施稳就业保就业专项行动，紧盯高校毕业生等重点群体，全面落实创业担保贷款、失业保险稳岗返还等政策，建成益美新科技职业技能培训基地，全年新增就业3000人、城镇登记失业率控制在5%以内，创建市级以上充分就业社区1个。全面取消城乡居民参保户籍限制，推动实现“全民参保、应保尽保”。注重普惠性、基础性、兜底性，不断完善低保、残疾人、留守老人、困境儿童等群体综合救助体系，提高兜底保障能力。实施养老服务补短板工程，养老机构医养结合率达到20%、一级以上民办养老机构占比达到100%、街道综合养老服务机构和社区日间照料室覆盖率达到100%，让更多的老人“老有所养、老有所乐”。深化根治欠薪专项整治，保障农民工工资及时足额发放。深入开展“双拥”活动，扎实做好退役军人服务保障工作。</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3"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——让公共服务更加优质均衡。</w:t>
      </w:r>
      <w:r>
        <w:rPr>
          <w:rFonts w:hint="eastAsia" w:ascii="仿宋_GB2312" w:hAnsi="仿宋_GB2312" w:eastAsia="仿宋_GB2312" w:cs="仿宋_GB2312"/>
          <w:color w:val="000000"/>
          <w:sz w:val="32"/>
          <w:szCs w:val="32"/>
          <w:highlight w:val="none"/>
          <w:lang w:val="en-US" w:eastAsia="zh-CN"/>
        </w:rPr>
        <w:t>加快补齐民生短板，筑牢教育“民生之基”，完成向阳小学科创中心、西牡丹小学文化艺术中心建设，启动实施5所校园配套提升工程，确保区公立幼儿园分园投入使用，新增教育普惠学位320个；深化新时代教师队伍建设，全面推进“县管校聘”改革，进一步强化“双减”措施，打造更加公平、更有质量的满意教育。优化就医“民生之需”，以建设“健康西安区”为引领，落实医保支付等综合改革，完成疾控中心新址建设，“优质服务基层行”标准卫生机构达到7家。铸牢文化“民生之魂”，精心组织喜迎党的二十大</w:t>
      </w:r>
      <w:bookmarkStart w:id="0" w:name="_GoBack"/>
      <w:bookmarkEnd w:id="0"/>
      <w:r>
        <w:rPr>
          <w:rFonts w:hint="eastAsia" w:ascii="仿宋_GB2312" w:hAnsi="仿宋_GB2312" w:eastAsia="仿宋_GB2312" w:cs="仿宋_GB2312"/>
          <w:color w:val="000000"/>
          <w:sz w:val="32"/>
          <w:szCs w:val="32"/>
          <w:highlight w:val="none"/>
          <w:lang w:val="en-US" w:eastAsia="zh-CN"/>
        </w:rPr>
        <w:t>系列群众文化活动，大力开展足球、滑冰等全民健身活动，不断丰富群众文化体育生活。</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3"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——让社会环境更加安定和谐。</w:t>
      </w:r>
      <w:r>
        <w:rPr>
          <w:rFonts w:hint="eastAsia" w:ascii="仿宋_GB2312" w:hAnsi="仿宋_GB2312" w:eastAsia="仿宋_GB2312" w:cs="仿宋_GB2312"/>
          <w:b w:val="0"/>
          <w:bCs w:val="0"/>
          <w:color w:val="000000"/>
          <w:sz w:val="32"/>
          <w:szCs w:val="32"/>
          <w:highlight w:val="none"/>
          <w:lang w:val="en-US" w:eastAsia="zh-CN"/>
        </w:rPr>
        <w:t>坚持和发展新时代“枫桥经验”，开展基层治理现代化试点，强化社区服务功能，优化“1+N”网格设置，推进智慧社区建设，打造“网络+网格”基层社会治理升级版。完善领导干部“三访一包”制度，推进综治、信访、司法职能融合、联动办公，有效治理重复信访、全力化解信访积案。优化社会治安防控体系，推动“社警匹配”和“网格+警格”一体化管理，常态化、机制化开展行业领域扫黑除恶斗争，依法依规开展社戒社矫。深化安全生产专项整治三年行动和“十查十治”，持续加大工矿商贸、食品药品、特种设备等重点行业领域监管，坚决遏制重特大事故发生。</w:t>
      </w:r>
      <w:r>
        <w:rPr>
          <w:rFonts w:hint="eastAsia" w:ascii="仿宋_GB2312" w:hAnsi="仿宋_GB2312" w:eastAsia="仿宋_GB2312" w:cs="仿宋_GB2312"/>
          <w:color w:val="000000"/>
          <w:sz w:val="32"/>
          <w:szCs w:val="32"/>
          <w:highlight w:val="none"/>
          <w:lang w:val="en-US" w:eastAsia="zh-CN"/>
        </w:rPr>
        <w:t>持续推进应急体系和应急能力建设，完成区应急指挥中心平台建设，加强应急队伍编组与演练，统筹抓好防汛抗旱、森林防灭火等工作，着力让群众乐享平安生活、欣享岁月静好。</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3"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楷体_GB2312" w:hAnsi="楷体_GB2312" w:eastAsia="楷体_GB2312" w:cs="楷体_GB2312"/>
          <w:b/>
          <w:bCs/>
          <w:color w:val="000000"/>
          <w:sz w:val="32"/>
          <w:szCs w:val="32"/>
          <w:highlight w:val="none"/>
          <w:lang w:val="en-US" w:eastAsia="zh-CN"/>
        </w:rPr>
        <w:t>（七）聚力忠诚担当、廉洁高效，在自身建设上展现新作为。</w:t>
      </w:r>
      <w:r>
        <w:rPr>
          <w:rFonts w:hint="eastAsia" w:ascii="仿宋_GB2312" w:hAnsi="仿宋_GB2312" w:eastAsia="仿宋_GB2312" w:cs="仿宋_GB2312"/>
          <w:color w:val="000000"/>
          <w:sz w:val="32"/>
          <w:szCs w:val="32"/>
          <w:highlight w:val="none"/>
          <w:lang w:val="en-US" w:eastAsia="zh-CN"/>
        </w:rPr>
        <w:t>立足打铁必须自身硬，全面加强政府治理体系和治理能力现代化建设，打造务实担当的有为政府。</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3" w:firstLineChars="200"/>
        <w:textAlignment w:val="auto"/>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——持续加强政治建设。</w:t>
      </w:r>
      <w:r>
        <w:rPr>
          <w:rFonts w:hint="eastAsia" w:ascii="仿宋_GB2312" w:hAnsi="仿宋_GB2312" w:eastAsia="仿宋_GB2312" w:cs="仿宋_GB2312"/>
          <w:b w:val="0"/>
          <w:bCs w:val="0"/>
          <w:color w:val="000000"/>
          <w:sz w:val="32"/>
          <w:szCs w:val="32"/>
          <w:highlight w:val="none"/>
          <w:lang w:val="en-US" w:eastAsia="zh-CN"/>
        </w:rPr>
        <w:t>把党的领导落实到政府工作各领域各方面各环节，深入学习贯彻党的十九大和十九届历次全会精神，持续巩固深化党史学习教育成果，增强“四个意识”、坚定“四个自信”、做到“两个维护”，胸怀“国之大者”，深刻认识“两个确立”的决定性意义，坚决贯彻市委市政府和区委决策部署,认真履行政府党组职责，严格落实意识形态责任制，不断提高政治判断力、政治领悟力、政治执行力，扎实走好新的赶考之路。</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3" w:firstLineChars="200"/>
        <w:textAlignment w:val="auto"/>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——持续加强法治建设。</w:t>
      </w:r>
      <w:r>
        <w:rPr>
          <w:rFonts w:hint="eastAsia" w:ascii="仿宋_GB2312" w:hAnsi="仿宋_GB2312" w:eastAsia="仿宋_GB2312" w:cs="仿宋_GB2312"/>
          <w:b w:val="0"/>
          <w:bCs w:val="0"/>
          <w:color w:val="000000"/>
          <w:sz w:val="32"/>
          <w:szCs w:val="32"/>
          <w:highlight w:val="none"/>
          <w:lang w:val="en-US" w:eastAsia="zh-CN"/>
        </w:rPr>
        <w:t>弘扬法治精神，坚持法治西安、法治政府、法治社会一体建设，认真执行《重大行政决策程序暂行条例》，严格履行公众参与、风险评估、专家论证等决策程序，充分发挥政府法律顾问的作用，提高行政决策科学化、民主化、法治化水平。</w:t>
      </w:r>
      <w:r>
        <w:rPr>
          <w:rFonts w:hint="eastAsia" w:ascii="Times New Roman" w:hAnsi="Times New Roman" w:eastAsia="仿宋_GB2312" w:cs="Times New Roman"/>
          <w:snapToGrid w:val="0"/>
          <w:kern w:val="0"/>
          <w:sz w:val="32"/>
          <w:szCs w:val="32"/>
          <w:highlight w:val="none"/>
          <w:lang w:val="en-US" w:eastAsia="zh-CN"/>
        </w:rPr>
        <w:t>强化权力运行监督，</w:t>
      </w:r>
      <w:r>
        <w:rPr>
          <w:rFonts w:hint="default" w:ascii="Times New Roman" w:hAnsi="Times New Roman" w:eastAsia="仿宋_GB2312" w:cs="Times New Roman"/>
          <w:snapToGrid w:val="0"/>
          <w:kern w:val="0"/>
          <w:sz w:val="32"/>
          <w:szCs w:val="32"/>
          <w:highlight w:val="none"/>
          <w:lang w:val="en-US" w:eastAsia="zh-CN"/>
        </w:rPr>
        <w:t>主动接受区人大法律和工作监督、</w:t>
      </w:r>
      <w:r>
        <w:rPr>
          <w:rFonts w:hint="eastAsia" w:ascii="Times New Roman" w:hAnsi="Times New Roman" w:eastAsia="仿宋_GB2312" w:cs="Times New Roman"/>
          <w:snapToGrid w:val="0"/>
          <w:kern w:val="0"/>
          <w:sz w:val="32"/>
          <w:szCs w:val="32"/>
          <w:highlight w:val="none"/>
          <w:lang w:val="en-US" w:eastAsia="zh-CN"/>
        </w:rPr>
        <w:t>区</w:t>
      </w:r>
      <w:r>
        <w:rPr>
          <w:rFonts w:hint="default" w:ascii="Times New Roman" w:hAnsi="Times New Roman" w:eastAsia="仿宋_GB2312" w:cs="Times New Roman"/>
          <w:snapToGrid w:val="0"/>
          <w:kern w:val="0"/>
          <w:sz w:val="32"/>
          <w:szCs w:val="32"/>
          <w:highlight w:val="none"/>
          <w:lang w:val="en-US" w:eastAsia="zh-CN"/>
        </w:rPr>
        <w:t>政协民主监督、</w:t>
      </w:r>
      <w:r>
        <w:rPr>
          <w:rFonts w:hint="eastAsia" w:ascii="Times New Roman" w:hAnsi="Times New Roman" w:eastAsia="仿宋_GB2312" w:cs="Times New Roman"/>
          <w:snapToGrid w:val="0"/>
          <w:kern w:val="0"/>
          <w:sz w:val="32"/>
          <w:szCs w:val="32"/>
          <w:highlight w:val="none"/>
          <w:lang w:val="en-US" w:eastAsia="zh-CN"/>
        </w:rPr>
        <w:t>区</w:t>
      </w:r>
      <w:r>
        <w:rPr>
          <w:rFonts w:hint="default" w:ascii="Times New Roman" w:hAnsi="Times New Roman" w:eastAsia="仿宋_GB2312" w:cs="Times New Roman"/>
          <w:snapToGrid w:val="0"/>
          <w:kern w:val="0"/>
          <w:sz w:val="32"/>
          <w:szCs w:val="32"/>
          <w:highlight w:val="none"/>
          <w:lang w:val="en-US" w:eastAsia="zh-CN"/>
        </w:rPr>
        <w:t>纪检监察监督和社会舆论监督，</w:t>
      </w:r>
      <w:r>
        <w:rPr>
          <w:rFonts w:hint="eastAsia" w:ascii="Times New Roman" w:hAnsi="Times New Roman" w:eastAsia="仿宋_GB2312" w:cs="Times New Roman"/>
          <w:snapToGrid w:val="0"/>
          <w:kern w:val="0"/>
          <w:sz w:val="32"/>
          <w:szCs w:val="32"/>
          <w:highlight w:val="none"/>
          <w:lang w:val="en-US" w:eastAsia="zh-CN"/>
        </w:rPr>
        <w:t>高质量办好人大代表建议和政协委员提案。</w:t>
      </w:r>
      <w:r>
        <w:rPr>
          <w:rFonts w:hint="eastAsia" w:ascii="仿宋_GB2312" w:hAnsi="仿宋_GB2312" w:eastAsia="仿宋_GB2312" w:cs="仿宋_GB2312"/>
          <w:b w:val="0"/>
          <w:bCs w:val="0"/>
          <w:color w:val="000000"/>
          <w:sz w:val="32"/>
          <w:szCs w:val="32"/>
          <w:highlight w:val="none"/>
          <w:lang w:val="en-US" w:eastAsia="zh-CN"/>
        </w:rPr>
        <w:t>深入推进“八五”普法，从严落实</w:t>
      </w:r>
      <w:r>
        <w:rPr>
          <w:rFonts w:hint="eastAsia" w:ascii="Times New Roman" w:hAnsi="Times New Roman" w:eastAsia="仿宋_GB2312" w:cs="Times New Roman"/>
          <w:snapToGrid w:val="0"/>
          <w:kern w:val="0"/>
          <w:sz w:val="32"/>
          <w:szCs w:val="32"/>
          <w:highlight w:val="none"/>
          <w:lang w:val="en-US" w:eastAsia="zh-CN"/>
        </w:rPr>
        <w:t>行政执法“三项制度”，促进严格规范公正文明执法</w:t>
      </w:r>
      <w:r>
        <w:rPr>
          <w:rFonts w:hint="eastAsia" w:ascii="仿宋_GB2312" w:hAnsi="仿宋_GB2312" w:eastAsia="仿宋_GB2312" w:cs="仿宋_GB2312"/>
          <w:b w:val="0"/>
          <w:bCs w:val="0"/>
          <w:color w:val="00000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3" w:firstLineChars="200"/>
        <w:textAlignment w:val="auto"/>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——持续加强效能建设。</w:t>
      </w:r>
      <w:r>
        <w:rPr>
          <w:rFonts w:hint="eastAsia" w:ascii="仿宋_GB2312" w:hAnsi="仿宋_GB2312" w:eastAsia="仿宋_GB2312" w:cs="仿宋_GB2312"/>
          <w:b w:val="0"/>
          <w:bCs w:val="0"/>
          <w:color w:val="000000"/>
          <w:sz w:val="32"/>
          <w:szCs w:val="32"/>
          <w:highlight w:val="none"/>
          <w:lang w:val="en-US" w:eastAsia="zh-CN"/>
        </w:rPr>
        <w:t>把求实务实落实作为政府工作主旋律，注重谋实事、摸实情、出实招、求实效，用成果说话，以实绩论英雄。顺应西安区发展的内在规律和阶段性需要，把高频次招商、快节奏调度、高密度调研当做工作常态，一天争当两天干，精细部署工作、精准解决问题、精确落实责任，以“跳起摸高”的勇气定目标、抓工作、当先优。全面推进政府系统业务提升，推动干部在疫情防控、信访稳定、服务企业等一线增本领长才干，在理论学习中</w:t>
      </w:r>
      <w:r>
        <w:rPr>
          <w:rFonts w:hint="eastAsia" w:ascii="仿宋_GB2312" w:hAnsi="仿宋_GB2312" w:eastAsia="仿宋_GB2312" w:cs="仿宋_GB2312"/>
          <w:color w:val="000000"/>
          <w:sz w:val="32"/>
          <w:szCs w:val="32"/>
          <w:highlight w:val="none"/>
          <w:lang w:val="en-US" w:eastAsia="zh-CN"/>
        </w:rPr>
        <w:t>提高驾驭经济社会发展的能力和水平，不断</w:t>
      </w:r>
      <w:r>
        <w:rPr>
          <w:rFonts w:hint="eastAsia" w:ascii="仿宋_GB2312" w:hAnsi="仿宋_GB2312" w:eastAsia="仿宋_GB2312" w:cs="仿宋_GB2312"/>
          <w:b w:val="0"/>
          <w:bCs w:val="0"/>
          <w:color w:val="000000"/>
          <w:sz w:val="32"/>
          <w:szCs w:val="32"/>
          <w:highlight w:val="none"/>
          <w:lang w:val="en-US" w:eastAsia="zh-CN"/>
        </w:rPr>
        <w:t>以会干能干巧干提升工作质效。</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3" w:firstLineChars="200"/>
        <w:textAlignment w:val="auto"/>
        <w:rPr>
          <w:rFonts w:hint="eastAsia" w:ascii="楷体_GB2312" w:hAnsi="楷体_GB2312" w:eastAsia="楷体_GB2312" w:cs="楷体_GB2312"/>
          <w:b/>
          <w:bCs/>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——持续加强廉政建设。</w:t>
      </w:r>
      <w:r>
        <w:rPr>
          <w:rFonts w:hint="eastAsia" w:ascii="仿宋_GB2312" w:hAnsi="仿宋_GB2312" w:eastAsia="仿宋_GB2312" w:cs="仿宋_GB2312"/>
          <w:b w:val="0"/>
          <w:bCs w:val="0"/>
          <w:color w:val="000000"/>
          <w:sz w:val="32"/>
          <w:szCs w:val="32"/>
          <w:highlight w:val="none"/>
          <w:lang w:val="en-US" w:eastAsia="zh-CN"/>
        </w:rPr>
        <w:t>坚决</w:t>
      </w:r>
      <w:r>
        <w:rPr>
          <w:rFonts w:hint="eastAsia" w:ascii="仿宋_GB2312" w:hAnsi="仿宋_GB2312" w:eastAsia="仿宋_GB2312" w:cs="仿宋_GB2312"/>
          <w:snapToGrid w:val="0"/>
          <w:kern w:val="0"/>
          <w:sz w:val="32"/>
          <w:szCs w:val="32"/>
          <w:highlight w:val="none"/>
        </w:rPr>
        <w:t>落实中央八项规定及其实施细则精神，</w:t>
      </w:r>
      <w:r>
        <w:rPr>
          <w:rFonts w:hint="eastAsia" w:ascii="仿宋_GB2312" w:hAnsi="仿宋_GB2312" w:eastAsia="仿宋_GB2312" w:cs="仿宋_GB2312"/>
          <w:b w:val="0"/>
          <w:bCs w:val="0"/>
          <w:color w:val="000000"/>
          <w:sz w:val="32"/>
          <w:szCs w:val="32"/>
          <w:highlight w:val="none"/>
          <w:lang w:val="en-US" w:eastAsia="zh-CN"/>
        </w:rPr>
        <w:t>驰而不息纠治“四风”，推动“一岗双责”见人见事，严密制度、严肃教育、严防风险。坚持政府带头过“紧日子”，倡导厉行节约，严控“三公”经费支出，集中有限的财力用于市场主体和民生事业。不断强化工程招投标、政府采购等重点环节审计监督，支持纪检监察机关履行职责，一体推进不敢腐、不能腐、不想腐，营造干部清正、政府清廉、政治清明的良好氛围。</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各位代表！历史于时序更替中前行，梦想在砥砺奋进中实现。肩负着发展的使命、承载着人民的重托，惟有起而行之、勇挑重担，方能不负韶华、不负期待，让我们更加紧密团结在以习近平同志为核心的党中央周围，在市委、市政府和区委的正确领导下，以一往无前的奋斗姿态、昂扬奋进的精神状态，埋头苦干、勇毅前行，以优异成绩迎接党的二十大胜利召开，为西安区晋位争先、振兴发展而努力奋斗！</w:t>
      </w:r>
    </w:p>
    <w:p>
      <w:pPr>
        <w:pStyle w:val="2"/>
        <w:rPr>
          <w:rFonts w:hint="eastAsia" w:ascii="仿宋_GB2312" w:hAnsi="仿宋_GB2312" w:eastAsia="仿宋_GB2312" w:cs="仿宋_GB2312"/>
          <w:color w:val="000000"/>
          <w:sz w:val="32"/>
          <w:szCs w:val="32"/>
          <w:highlight w:val="none"/>
          <w:lang w:val="en-US" w:eastAsia="zh-CN"/>
        </w:rPr>
      </w:pPr>
    </w:p>
    <w:p>
      <w:pPr>
        <w:pStyle w:val="2"/>
        <w:rPr>
          <w:rFonts w:hint="eastAsia" w:ascii="仿宋_GB2312" w:hAnsi="仿宋_GB2312" w:eastAsia="仿宋_GB2312" w:cs="仿宋_GB2312"/>
          <w:color w:val="000000"/>
          <w:sz w:val="32"/>
          <w:szCs w:val="32"/>
          <w:highlight w:val="none"/>
          <w:lang w:val="en-US" w:eastAsia="zh-CN"/>
        </w:rPr>
      </w:pPr>
    </w:p>
    <w:p>
      <w:pPr>
        <w:pStyle w:val="2"/>
        <w:rPr>
          <w:rFonts w:hint="eastAsia" w:ascii="仿宋_GB2312" w:hAnsi="仿宋_GB2312" w:eastAsia="仿宋_GB2312" w:cs="仿宋_GB2312"/>
          <w:color w:val="000000"/>
          <w:sz w:val="32"/>
          <w:szCs w:val="32"/>
          <w:highlight w:val="none"/>
          <w:lang w:val="en-US" w:eastAsia="zh-CN"/>
        </w:rPr>
      </w:pPr>
    </w:p>
    <w:p>
      <w:pPr>
        <w:jc w:val="both"/>
        <w:rPr>
          <w:rFonts w:hint="eastAsia" w:ascii="方正小标宋简体" w:hAnsi="方正小标宋简体" w:eastAsia="方正小标宋简体" w:cs="方正小标宋简体"/>
          <w:sz w:val="44"/>
          <w:szCs w:val="44"/>
          <w:highlight w:val="none"/>
          <w:lang w:val="en-US" w:eastAsia="zh-CN"/>
        </w:rPr>
      </w:pPr>
    </w:p>
    <w:p>
      <w:pPr>
        <w:pStyle w:val="2"/>
        <w:rPr>
          <w:rFonts w:hint="eastAsia" w:ascii="仿宋_GB2312" w:hAnsi="仿宋_GB2312" w:eastAsia="仿宋_GB2312" w:cs="仿宋_GB2312"/>
          <w:sz w:val="32"/>
          <w:szCs w:val="32"/>
          <w:highlight w:val="none"/>
          <w:lang w:val="en-US" w:eastAsia="zh-CN"/>
        </w:rPr>
      </w:pPr>
    </w:p>
    <w:p>
      <w:pPr>
        <w:pStyle w:val="2"/>
        <w:rPr>
          <w:rFonts w:hint="eastAsia" w:ascii="仿宋_GB2312" w:hAnsi="仿宋_GB2312" w:eastAsia="仿宋_GB2312" w:cs="仿宋_GB2312"/>
          <w:sz w:val="32"/>
          <w:szCs w:val="32"/>
          <w:highlight w:val="none"/>
          <w:lang w:val="en-US" w:eastAsia="zh-CN"/>
        </w:rPr>
      </w:pPr>
    </w:p>
    <w:p>
      <w:pPr>
        <w:pStyle w:val="2"/>
        <w:rPr>
          <w:rFonts w:hint="eastAsia" w:ascii="仿宋_GB2312" w:hAnsi="仿宋_GB2312" w:eastAsia="仿宋_GB2312" w:cs="仿宋_GB2312"/>
          <w:sz w:val="32"/>
          <w:szCs w:val="32"/>
          <w:highlight w:val="none"/>
          <w:lang w:val="en-US" w:eastAsia="zh-CN"/>
        </w:rPr>
      </w:pPr>
    </w:p>
    <w:p>
      <w:pPr>
        <w:pStyle w:val="2"/>
        <w:rPr>
          <w:rFonts w:hint="eastAsia" w:ascii="仿宋_GB2312" w:hAnsi="仿宋_GB2312" w:eastAsia="仿宋_GB2312" w:cs="仿宋_GB2312"/>
          <w:sz w:val="32"/>
          <w:szCs w:val="32"/>
          <w:highlight w:val="none"/>
          <w:lang w:val="en-US" w:eastAsia="zh-CN"/>
        </w:rPr>
      </w:pPr>
    </w:p>
    <w:p>
      <w:pPr>
        <w:pStyle w:val="2"/>
        <w:rPr>
          <w:rFonts w:hint="eastAsia" w:ascii="仿宋_GB2312" w:hAnsi="仿宋_GB2312" w:eastAsia="仿宋_GB2312" w:cs="仿宋_GB2312"/>
          <w:sz w:val="32"/>
          <w:szCs w:val="32"/>
          <w:highlight w:val="none"/>
          <w:lang w:val="en-US" w:eastAsia="zh-CN"/>
        </w:rPr>
      </w:pPr>
    </w:p>
    <w:p>
      <w:pPr>
        <w:pStyle w:val="2"/>
        <w:rPr>
          <w:rFonts w:hint="eastAsia" w:ascii="仿宋_GB2312" w:hAnsi="仿宋_GB2312" w:eastAsia="仿宋_GB2312" w:cs="仿宋_GB2312"/>
          <w:sz w:val="32"/>
          <w:szCs w:val="32"/>
          <w:highlight w:val="none"/>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ind w:left="1280" w:hanging="1280" w:hangingChars="400"/>
        <w:rPr>
          <w:rFonts w:ascii="仿宋_GB2312" w:hAnsi="华文中宋" w:eastAsia="仿宋_GB2312"/>
          <w:sz w:val="28"/>
          <w:szCs w:val="28"/>
        </w:rPr>
      </w:pPr>
      <w:r>
        <w:rPr>
          <w:rFonts w:ascii="黑体" w:hAnsi="华文中宋" w:eastAsia="黑体"/>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8890</wp:posOffset>
                </wp:positionV>
                <wp:extent cx="52578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7pt;height:0pt;width:414pt;z-index:251660288;mso-width-relative:page;mso-height-relative:page;" filled="f" stroked="t" coordsize="21600,21600" o:gfxdata="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omIA10QAAAAQBAAAPAAAAAAAAAAEAIAAAACIAAABkcnMvZG93bnJldi54bWxQSwECFAAU&#10;AAAACACHTuJAYedWgfgBAADyAwAADgAAAAAAAAABACAAAAAgAQAAZHJzL2Uyb0RvYy54bWxQSwUG&#10;AAAAAAYABgBZAQAAigUAAAAA&#10;">
                <v:fill on="f" focussize="0,0"/>
                <v:stroke color="#000000" joinstyle="round"/>
                <v:imagedata o:title=""/>
                <o:lock v:ext="edit" aspectratio="f"/>
              </v:line>
            </w:pict>
          </mc:Fallback>
        </mc:AlternateContent>
      </w:r>
      <w:r>
        <w:rPr>
          <w:rFonts w:hint="eastAsia" w:ascii="仿宋_GB2312" w:hAnsi="华文中宋" w:eastAsia="仿宋_GB2312"/>
          <w:sz w:val="32"/>
          <w:szCs w:val="32"/>
        </w:rPr>
        <w:t xml:space="preserve"> </w:t>
      </w:r>
      <w:r>
        <w:rPr>
          <w:rFonts w:hint="eastAsia" w:ascii="仿宋_GB2312" w:hAnsi="华文中宋" w:eastAsia="仿宋_GB2312"/>
          <w:sz w:val="28"/>
          <w:szCs w:val="28"/>
        </w:rPr>
        <w:t>抄送：区委各部办委，区人大办，区政协办，区法院，区检察院，</w:t>
      </w:r>
      <w:r>
        <w:rPr>
          <w:rFonts w:hint="eastAsia" w:ascii="仿宋_GB2312" w:hAnsi="华文中宋" w:eastAsia="仿宋_GB2312"/>
          <w:sz w:val="28"/>
          <w:szCs w:val="28"/>
          <w:lang w:eastAsia="zh-CN"/>
        </w:rPr>
        <w:t>市公安局西安分局</w:t>
      </w:r>
      <w:r>
        <w:rPr>
          <w:rFonts w:hint="eastAsia" w:ascii="仿宋_GB2312" w:hAnsi="华文中宋" w:eastAsia="仿宋_GB2312"/>
          <w:sz w:val="28"/>
          <w:szCs w:val="28"/>
        </w:rPr>
        <w:t>，区税务局，城管西安分局。</w:t>
      </w:r>
    </w:p>
    <w:p>
      <w:r>
        <w:rPr>
          <w:rFonts w:ascii="黑体" w:hAnsi="华文中宋" w:eastAsia="黑体"/>
          <w:sz w:val="32"/>
          <w:szCs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405130</wp:posOffset>
                </wp:positionV>
                <wp:extent cx="52578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1.9pt;height:0pt;width:414pt;z-index:251662336;mso-width-relative:page;mso-height-relative:page;" filled="f" stroked="t" coordsize="21600,21600" o:gfxdata="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5udE80wAAAAYBAAAPAAAAAAAAAAEAIAAAACIAAABkcnMvZG93bnJldi54bWxQSwEC&#10;FAAUAAAACACHTuJAAVDe+PkBAADyAwAADgAAAAAAAAABACAAAAAiAQAAZHJzL2Uyb0RvYy54bWxQ&#10;SwUGAAAAAAYABgBZAQAAjQUAAAAA&#10;">
                <v:fill on="f" focussize="0,0"/>
                <v:stroke color="#000000" joinstyle="round"/>
                <v:imagedata o:title=""/>
                <o:lock v:ext="edit" aspectratio="f"/>
              </v:line>
            </w:pict>
          </mc:Fallback>
        </mc:AlternateContent>
      </w:r>
      <w:r>
        <w:rPr>
          <w:rFonts w:ascii="黑体" w:hAnsi="华文中宋" w:eastAsia="黑体"/>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8890</wp:posOffset>
                </wp:positionV>
                <wp:extent cx="52578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7pt;height:0pt;width:414pt;z-index:251661312;mso-width-relative:page;mso-height-relative:page;" filled="f" stroked="t" coordsize="21600,21600" o:gfxdata="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JiANdEAAAAEAQAADwAAAAAAAAABACAAAAAiAAAAZHJzL2Rvd25yZXYueG1sUEsBAhQA&#10;FAAAAAgAh07iQM7TxSP5AQAA8gMAAA4AAAAAAAAAAQAgAAAAIAEAAGRycy9lMm9Eb2MueG1sUEsF&#10;BgAAAAAGAAYAWQEAAIsFAAAAAA==&#10;">
                <v:fill on="f" focussize="0,0"/>
                <v:stroke color="#000000" joinstyle="round"/>
                <v:imagedata o:title=""/>
                <o:lock v:ext="edit" aspectratio="f"/>
              </v:line>
            </w:pict>
          </mc:Fallback>
        </mc:AlternateContent>
      </w:r>
      <w:r>
        <w:rPr>
          <w:rFonts w:hint="eastAsia" w:ascii="仿宋_GB2312" w:hAnsi="华文中宋" w:eastAsia="仿宋_GB2312"/>
          <w:sz w:val="32"/>
          <w:szCs w:val="32"/>
        </w:rPr>
        <w:t xml:space="preserve"> </w:t>
      </w:r>
      <w:r>
        <w:rPr>
          <w:rFonts w:hint="eastAsia" w:ascii="仿宋_GB2312" w:hAnsi="华文中宋" w:eastAsia="仿宋_GB2312"/>
          <w:sz w:val="32"/>
          <w:szCs w:val="32"/>
          <w:lang w:eastAsia="zh-CN"/>
        </w:rPr>
        <w:t>牡丹江市</w:t>
      </w:r>
      <w:r>
        <w:rPr>
          <w:rFonts w:hint="eastAsia" w:ascii="仿宋_GB2312" w:eastAsia="仿宋_GB2312"/>
          <w:sz w:val="28"/>
          <w:szCs w:val="28"/>
        </w:rPr>
        <w:t xml:space="preserve">西安区人民政府办公室       </w:t>
      </w:r>
      <w:r>
        <w:rPr>
          <w:rFonts w:hint="eastAsia" w:ascii="仿宋_GB2312" w:eastAsia="仿宋_GB2312"/>
          <w:sz w:val="28"/>
          <w:szCs w:val="28"/>
          <w:lang w:val="en-US" w:eastAsia="zh-CN"/>
        </w:rPr>
        <w:t xml:space="preserve"> </w:t>
      </w:r>
      <w:r>
        <w:rPr>
          <w:rFonts w:hint="eastAsia" w:ascii="仿宋_GB2312" w:eastAsia="仿宋_GB2312"/>
          <w:sz w:val="28"/>
          <w:szCs w:val="28"/>
        </w:rPr>
        <w:t>202</w:t>
      </w:r>
      <w:r>
        <w:rPr>
          <w:rFonts w:hint="eastAsia" w:ascii="仿宋_GB2312" w:eastAsia="仿宋_GB2312"/>
          <w:sz w:val="28"/>
          <w:szCs w:val="28"/>
          <w:lang w:val="en-US" w:eastAsia="zh-CN"/>
        </w:rPr>
        <w:t>2</w:t>
      </w:r>
      <w:r>
        <w:rPr>
          <w:rFonts w:hint="eastAsia" w:ascii="仿宋_GB2312" w:eastAsia="仿宋_GB2312"/>
          <w:sz w:val="28"/>
          <w:szCs w:val="28"/>
        </w:rPr>
        <w:t>年1月</w:t>
      </w:r>
      <w:r>
        <w:rPr>
          <w:rFonts w:hint="eastAsia" w:ascii="仿宋_GB2312" w:eastAsia="仿宋_GB2312"/>
          <w:sz w:val="28"/>
          <w:szCs w:val="28"/>
          <w:lang w:val="en-US" w:eastAsia="zh-CN"/>
        </w:rPr>
        <w:t>21</w:t>
      </w:r>
      <w:r>
        <w:rPr>
          <w:rFonts w:hint="eastAsia" w:ascii="仿宋_GB2312" w:eastAsia="仿宋_GB2312"/>
          <w:sz w:val="28"/>
          <w:szCs w:val="28"/>
        </w:rPr>
        <w:t xml:space="preserve">日印发                          </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3ZDRkNWYwMWQ1NjYwZTNlNDhiODZhZGQ4NGE4ODAifQ=="/>
  </w:docVars>
  <w:rsids>
    <w:rsidRoot w:val="19B948B2"/>
    <w:rsid w:val="19B948B2"/>
    <w:rsid w:val="1CE11EDF"/>
    <w:rsid w:val="2A757509"/>
    <w:rsid w:val="44E46898"/>
    <w:rsid w:val="BCFDC936"/>
    <w:rsid w:val="DDF7CFD7"/>
    <w:rsid w:val="E777B4EB"/>
    <w:rsid w:val="EDFFE833"/>
    <w:rsid w:val="F0CFF9E2"/>
    <w:rsid w:val="F3773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after="0"/>
      <w:ind w:firstLine="420" w:firstLineChars="100"/>
    </w:pPr>
    <w:rPr>
      <w:szCs w:val="24"/>
    </w:rPr>
  </w:style>
  <w:style w:type="paragraph" w:styleId="3">
    <w:name w:val="Body Text"/>
    <w:basedOn w:val="1"/>
    <w:next w:val="1"/>
    <w:qFormat/>
    <w:uiPriority w:val="0"/>
    <w:pPr>
      <w:jc w:val="center"/>
    </w:pPr>
    <w:rPr>
      <w:rFonts w:eastAsia="黑体"/>
      <w:sz w:val="4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basedOn w:val="1"/>
    <w:qFormat/>
    <w:uiPriority w:val="0"/>
    <w:pPr>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13770</Words>
  <Characters>14130</Characters>
  <Lines>0</Lines>
  <Paragraphs>0</Paragraphs>
  <TotalTime>20</TotalTime>
  <ScaleCrop>false</ScaleCrop>
  <LinksUpToDate>false</LinksUpToDate>
  <CharactersWithSpaces>14202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2022-01-24T08:31:00Z</dcterms:created>
  <dc:creator>lenovo</dc:creator>
  <cp:lastModifiedBy>郭艳丽</cp:lastModifiedBy>
  <dcterms:modified xsi:type="dcterms:W3CDTF">2022-10-15T03:14:07Z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EAEE9FE74329475BBE599C924F4F92CF</vt:lpwstr>
  </property>
</Properties>
</file>